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51" w:rsidRDefault="00E95112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 № 66 на МС от 15.04.1991 г. за определяне минимални размери на намаленията на превозните цени по автомобилния транспорт на някои групи граждани</w:t>
      </w:r>
    </w:p>
    <w:p w:rsidR="00BE7751" w:rsidRDefault="00E95112">
      <w:pPr>
        <w:spacing w:before="120"/>
        <w:ind w:firstLine="990"/>
        <w:rPr>
          <w:lang w:val="en-US"/>
        </w:rPr>
      </w:pPr>
      <w:r>
        <w:rPr>
          <w:lang w:val="en-US"/>
        </w:rPr>
        <w:t>Обн., ДВ, бр. 33 от 26.04.1991 г., доп., бр. 15 от 22.02.2000 г., изм., бр. 13 от 17.02.2004 г., бр. 16 от 15.02.2008 г., изм. и доп., бр. 104 от 27.12.2011 г., бр. 51 от 7.07.2015 г., изм., бр. 36 от 13.05.2022 г., изм. и доп., бр. 9 от 27.01.2023 г., в с</w:t>
      </w:r>
      <w:r>
        <w:rPr>
          <w:lang w:val="en-US"/>
        </w:rPr>
        <w:t>ила от 1.02.2023 г.</w:t>
      </w:r>
    </w:p>
    <w:p w:rsidR="00BE7751" w:rsidRDefault="00E95112">
      <w:pPr>
        <w:spacing w:before="120"/>
        <w:ind w:firstLine="990"/>
        <w:rPr>
          <w:lang w:val="en-US"/>
        </w:rPr>
      </w:pPr>
      <w:r>
        <w:rPr>
          <w:lang w:val="en-US"/>
        </w:rPr>
        <w:t>(Изм. - ДВ, бр. 104 от 2011 г.) За да се създадат по-благоприятни условия за пътуване по вътрешноградския автобусен, тролейбусен и трамваен транспорт, включително метрополитена, и на междуселищния автомобилен транспорт, по общински, обл</w:t>
      </w:r>
      <w:r>
        <w:rPr>
          <w:lang w:val="en-US"/>
        </w:rPr>
        <w:t>астни и републиканска транспортни схеми на някои групи граждани,</w:t>
      </w:r>
    </w:p>
    <w:p w:rsidR="00BE7751" w:rsidRDefault="00E95112">
      <w:pPr>
        <w:spacing w:before="120"/>
        <w:ind w:firstLine="990"/>
        <w:rPr>
          <w:lang w:val="en-US"/>
        </w:rPr>
      </w:pPr>
      <w:r>
        <w:rPr>
          <w:lang w:val="en-US"/>
        </w:rPr>
        <w:t>МИНИСТЕРСКИЯТ СЪВЕТ</w:t>
      </w:r>
    </w:p>
    <w:p w:rsidR="00BE7751" w:rsidRDefault="00E95112">
      <w:pPr>
        <w:spacing w:before="120"/>
        <w:ind w:firstLine="990"/>
        <w:rPr>
          <w:lang w:val="en-US"/>
        </w:rPr>
      </w:pPr>
      <w:r>
        <w:rPr>
          <w:lang w:val="en-US"/>
        </w:rPr>
        <w:t>ПОСТАНОВИ:</w:t>
      </w:r>
    </w:p>
    <w:p w:rsidR="00BE7751" w:rsidRDefault="00E9511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1.</w:t>
      </w:r>
      <w:r>
        <w:rPr>
          <w:lang w:val="en-US"/>
        </w:rPr>
        <w:t xml:space="preserve"> (1) (Изм. – ДВ, бр. 51 от 2015 г.) Определят се минимални размери на намаленията на цените за пътуване по основните градски линии и междуселищния автомоб</w:t>
      </w:r>
      <w:r>
        <w:rPr>
          <w:lang w:val="en-US"/>
        </w:rPr>
        <w:t>илен транспорт в сравнение с редовните цени, както следва:</w:t>
      </w:r>
    </w:p>
    <w:p w:rsidR="00BE7751" w:rsidRDefault="00E95112">
      <w:pPr>
        <w:rPr>
          <w:lang w:val="en-US"/>
        </w:rPr>
      </w:pPr>
      <w:r>
        <w:rPr>
          <w:lang w:val="en-US"/>
        </w:rPr>
        <w:t>1. (изм. – ДВ, бр. 51 от 2015 г.) с абонаментни карти за пътуване по основните градски линии:</w:t>
      </w:r>
    </w:p>
    <w:p w:rsidR="00BE7751" w:rsidRDefault="00E95112">
      <w:pPr>
        <w:rPr>
          <w:lang w:val="en-US"/>
        </w:rPr>
      </w:pPr>
      <w:r>
        <w:rPr>
          <w:lang w:val="en-US"/>
        </w:rPr>
        <w:t>а) (изм. - ДВ, бр. 13 от 2004 г., доп., бр. 104 от 2011 г., изм., бр. 51 от 2015 г.) ученици в дневна ф</w:t>
      </w:r>
      <w:r>
        <w:rPr>
          <w:lang w:val="en-US"/>
        </w:rPr>
        <w:t>орма на обучение и студенти редовно обучение, включително докторанти в редовна форма на обучение, учащи в училищата, висшите училища и научните организации, включени в Регистъра на средните училища и детските градини и в Регистъра на акредитираните висши у</w:t>
      </w:r>
      <w:r>
        <w:rPr>
          <w:lang w:val="en-US"/>
        </w:rPr>
        <w:t>чилища на Министерството на образованието и науката (МОН) – с 30 на сто;</w:t>
      </w:r>
    </w:p>
    <w:p w:rsidR="00BE7751" w:rsidRDefault="00E95112">
      <w:pPr>
        <w:rPr>
          <w:lang w:val="en-US"/>
        </w:rPr>
      </w:pPr>
      <w:r>
        <w:rPr>
          <w:lang w:val="en-US"/>
        </w:rPr>
        <w:t>б) (изм. - ДВ, бр. 13 от 2004 г., бр. 16 от 2008 г.) лица, получаващи пенсия при условията на глава шеста от Кодекса за социално осигуряване, навършили възраст по чл. 68, ал. 1 - 3 от</w:t>
      </w:r>
      <w:r>
        <w:rPr>
          <w:lang w:val="en-US"/>
        </w:rPr>
        <w:t xml:space="preserve"> същия кодекс - с 20 на сто;</w:t>
      </w:r>
    </w:p>
    <w:p w:rsidR="00BE7751" w:rsidRDefault="00E95112">
      <w:pPr>
        <w:rPr>
          <w:lang w:val="en-US"/>
        </w:rPr>
      </w:pPr>
      <w:r>
        <w:rPr>
          <w:lang w:val="en-US"/>
        </w:rPr>
        <w:t>2. (изм. - ДВ, бр. 104 от 2011 г., бр. 51 от 2015 г.) с абонаментни карти за пътуване по междуселищни автобусни линии от общинските и областните транспортни схеми:</w:t>
      </w:r>
    </w:p>
    <w:p w:rsidR="00BE7751" w:rsidRDefault="00E95112">
      <w:pPr>
        <w:rPr>
          <w:lang w:val="en-US"/>
        </w:rPr>
      </w:pPr>
      <w:r>
        <w:rPr>
          <w:lang w:val="en-US"/>
        </w:rPr>
        <w:t>а) (изм. - ДВ, бр. 13 от 2004 г., доп., бр. 104 от 2011 г., изм</w:t>
      </w:r>
      <w:r>
        <w:rPr>
          <w:lang w:val="en-US"/>
        </w:rPr>
        <w:t>., бр. 51 от 2015 г.) ученици в дневна форма на обучение и студенти редовно обучение, включително докторанти в редовна форма на обучение, учащи в училищата, висшите училища и научните организации, включени в Регистъра на средните училища и детските градини</w:t>
      </w:r>
      <w:r>
        <w:rPr>
          <w:lang w:val="en-US"/>
        </w:rPr>
        <w:t xml:space="preserve"> и в Регистъра на акредитираните висши училища на МОН – с 20 на сто;</w:t>
      </w:r>
    </w:p>
    <w:p w:rsidR="00BE7751" w:rsidRDefault="00E95112">
      <w:pPr>
        <w:rPr>
          <w:lang w:val="en-US"/>
        </w:rPr>
      </w:pPr>
      <w:r>
        <w:rPr>
          <w:lang w:val="en-US"/>
        </w:rPr>
        <w:t>б) (изм. - ДВ, бр. 13 от 2004 г., бр. 16 от 2008 г.) лица, получаващи пенсия при условията на глава шеста от Кодекса за социално осигуряване, навършили възраст по чл. 68, ал. 1 - 3 от същ</w:t>
      </w:r>
      <w:r>
        <w:rPr>
          <w:lang w:val="en-US"/>
        </w:rPr>
        <w:t>ия кодекс - с 20 на сто;</w:t>
      </w:r>
    </w:p>
    <w:p w:rsidR="00BE7751" w:rsidRDefault="00E95112">
      <w:pPr>
        <w:rPr>
          <w:lang w:val="en-US"/>
        </w:rPr>
      </w:pPr>
      <w:r>
        <w:rPr>
          <w:lang w:val="en-US"/>
        </w:rPr>
        <w:t xml:space="preserve">3. (доп. - ДВ, бр. 104 от 2011 г., отм., бр. 51 от 2015 г.). </w:t>
      </w:r>
    </w:p>
    <w:p w:rsidR="00BE7751" w:rsidRDefault="00E95112">
      <w:pPr>
        <w:rPr>
          <w:lang w:val="en-US"/>
        </w:rPr>
      </w:pPr>
      <w:r>
        <w:rPr>
          <w:lang w:val="en-US"/>
        </w:rPr>
        <w:t>(2) (Изм. - ДВ, бр. 104 от 2011 г.) Децата до 7 навършени години пътуват безплатно и с превозен документ - карта за безплатно пътуване по вътрешноградския и билет с нуле</w:t>
      </w:r>
      <w:r>
        <w:rPr>
          <w:lang w:val="en-US"/>
        </w:rPr>
        <w:t>ва стойност по междуселищния автомобилен транспорт, а децата от 7 до 10 навършени години - с 50 на сто намаление от цените на билетите за пътуване по междуселищния автомобилен транспорт.</w:t>
      </w:r>
    </w:p>
    <w:p w:rsidR="00BE7751" w:rsidRDefault="00E95112">
      <w:pPr>
        <w:rPr>
          <w:lang w:val="en-US"/>
        </w:rPr>
      </w:pPr>
      <w:r>
        <w:rPr>
          <w:lang w:val="en-US"/>
        </w:rPr>
        <w:t>(3) (Нова – ДВ, бр. 51 от 2015 г.) Намаленията по ал. 2 не се прилага</w:t>
      </w:r>
      <w:r>
        <w:rPr>
          <w:lang w:val="en-US"/>
        </w:rPr>
        <w:t xml:space="preserve">т при организирани групови пътувания на деца до 7 навършени години и ученици от 7 до 10 навършени години, които следва да се извършват като случайни превози по реда на Наредба № 33 от 1999 г. за обществен превоз </w:t>
      </w:r>
      <w:r>
        <w:rPr>
          <w:lang w:val="en-US"/>
        </w:rPr>
        <w:lastRenderedPageBreak/>
        <w:t>на пътници и товари на територията на Републ</w:t>
      </w:r>
      <w:r>
        <w:rPr>
          <w:lang w:val="en-US"/>
        </w:rPr>
        <w:t>ика България (обн., ДВ, бр. 101 от 1999 г.; изм. и доп., бр. 50 и 95 от 2000 г., бр. 36 от 2001 г.; Решение № 219 на Върховния административен съд от 2002 г. – бр. 8 от 2002 г.; изм. и доп., бр. 40 и 108 от 2002 г.; Решение № 1043 на Върховния администрати</w:t>
      </w:r>
      <w:r>
        <w:rPr>
          <w:lang w:val="en-US"/>
        </w:rPr>
        <w:t>вен съд от 2003 г. – бр. 16 от 2003 г.; изм. и доп., бр. 46 от 2006 г., бр. 13 от 2011 г. и бр. 52 и 69 от 2012 г.).</w:t>
      </w:r>
    </w:p>
    <w:p w:rsidR="00BE7751" w:rsidRDefault="00E95112">
      <w:pPr>
        <w:rPr>
          <w:lang w:val="en-US"/>
        </w:rPr>
      </w:pPr>
      <w:r>
        <w:rPr>
          <w:lang w:val="en-US"/>
        </w:rPr>
        <w:t>(4) (Изм. - ДВ, бр. 104 от 2011 г., предишна ал. 3, изм., бр. 51 от 2015 г.) Превозвачите могат да правят и по-големи намаления, както и на</w:t>
      </w:r>
      <w:r>
        <w:rPr>
          <w:lang w:val="en-US"/>
        </w:rPr>
        <w:t>маления в други случаи от определените в ал. 1 и 2, когато считат това за икономически целесъобразно.</w:t>
      </w:r>
    </w:p>
    <w:p w:rsidR="00BE7751" w:rsidRDefault="00E9511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2.</w:t>
      </w:r>
      <w:r>
        <w:rPr>
          <w:lang w:val="en-US"/>
        </w:rPr>
        <w:t xml:space="preserve"> (Доп. - ДВ, бр. 15 от 2000 г., изм., бр. 104 от 2011 г.) Предвидените намаления в цените и безплатните пътувания по чл. 1 са за сметка на превозвач</w:t>
      </w:r>
      <w:r>
        <w:rPr>
          <w:lang w:val="en-US"/>
        </w:rPr>
        <w:t>ите, като държавата ги компенсира до размера на определените за тази цел средства в държавния бюджет.</w:t>
      </w:r>
    </w:p>
    <w:p w:rsidR="00BE7751" w:rsidRDefault="00E9511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3.</w:t>
      </w:r>
      <w:r>
        <w:rPr>
          <w:lang w:val="en-US"/>
        </w:rPr>
        <w:t xml:space="preserve"> (Изм. и доп. - ДВ, бр. 104 от 2011 г.) Разпоредбите на чл. 1 са задължителни за всички превозвачи, които извършват превози на пътници срещу заплащане без таксиметровите, специализираните и случайните превози, както и тези по допълнителните градски линии.</w:t>
      </w:r>
    </w:p>
    <w:p w:rsidR="00BE7751" w:rsidRDefault="00E9511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4.</w:t>
      </w:r>
      <w:r>
        <w:rPr>
          <w:lang w:val="en-US"/>
        </w:rPr>
        <w:t xml:space="preserve"> (Изм. - ДВ, бр. 104 от 2011 г.) Превозвачите не могат да отказват превози по намалени цени или безплатно, както и издаването на абонаментни карти по намалени цени на правоимащите.</w:t>
      </w:r>
    </w:p>
    <w:p w:rsidR="00BE7751" w:rsidRDefault="00E9511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5.</w:t>
      </w:r>
      <w:r>
        <w:rPr>
          <w:lang w:val="en-US"/>
        </w:rPr>
        <w:t xml:space="preserve"> (1) (Изм. - ДВ, бр. 104 от 2011 г.) Превозвачите са длъжни да </w:t>
      </w:r>
      <w:r>
        <w:rPr>
          <w:lang w:val="en-US"/>
        </w:rPr>
        <w:t>извършват превози по намалени цени или безплатно на гражданите, на които и с други нормативни документи е предоставено такова право, за които те получават компенсации от държавния бюджет по установения ред.</w:t>
      </w:r>
    </w:p>
    <w:p w:rsidR="00BE7751" w:rsidRDefault="00E95112">
      <w:pPr>
        <w:rPr>
          <w:lang w:val="en-US"/>
        </w:rPr>
      </w:pPr>
      <w:r>
        <w:rPr>
          <w:lang w:val="en-US"/>
        </w:rPr>
        <w:t>(2) (Изм. - ДВ, бр. 104 от 2011 г., бр. 51 от 201</w:t>
      </w:r>
      <w:r>
        <w:rPr>
          <w:lang w:val="en-US"/>
        </w:rPr>
        <w:t>5 г.) Компенсациите по ал. 1 се предоставят на превозвачите, които извършват превози по основните градски линии и междуселищните линии от общинските, областните и републиканската транспортни схеми.</w:t>
      </w:r>
    </w:p>
    <w:p w:rsidR="00BE7751" w:rsidRDefault="00E95112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ПРЕХОДНИ И ЗАКЛЮЧИТЕЛНИ РАЗПОРЕДБИ</w:t>
      </w:r>
      <w:r>
        <w:rPr>
          <w:b/>
          <w:bCs/>
          <w:sz w:val="36"/>
          <w:szCs w:val="36"/>
        </w:rPr>
        <w:br/>
        <w:t>(Загл. изм. – ДВ, бр. 9</w:t>
      </w:r>
      <w:r>
        <w:rPr>
          <w:b/>
          <w:bCs/>
          <w:sz w:val="36"/>
          <w:szCs w:val="36"/>
        </w:rPr>
        <w:t xml:space="preserve"> от 2023 г., в сила от 1.02.2023 г.)</w:t>
      </w:r>
    </w:p>
    <w:p w:rsidR="00BE7751" w:rsidRDefault="00E9511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§ 1.</w:t>
      </w:r>
      <w:r>
        <w:rPr>
          <w:lang w:val="en-US"/>
        </w:rPr>
        <w:t xml:space="preserve"> (Нов – ДВ, бр. 9 от 2023 г., в сила от 1.02.2023 г.) (1) За времето от 1 февруари 2023 г. до 31 декември 2023 г. се прилагат следните минимални размери на намаленията на цените за пътуване по основните градски лини</w:t>
      </w:r>
      <w:r>
        <w:rPr>
          <w:lang w:val="en-US"/>
        </w:rPr>
        <w:t>и и междуселищния автомобилен транспорт в сравнение с редовните цени, както следва:</w:t>
      </w:r>
    </w:p>
    <w:p w:rsidR="00BE7751" w:rsidRDefault="00E95112">
      <w:pPr>
        <w:rPr>
          <w:lang w:val="en-US"/>
        </w:rPr>
      </w:pPr>
      <w:r>
        <w:rPr>
          <w:lang w:val="en-US"/>
        </w:rPr>
        <w:t>1. с абонаментни карти за пътуване по основните градски линии:</w:t>
      </w:r>
    </w:p>
    <w:p w:rsidR="00BE7751" w:rsidRDefault="00E95112">
      <w:pPr>
        <w:rPr>
          <w:lang w:val="en-US"/>
        </w:rPr>
      </w:pPr>
      <w:r>
        <w:rPr>
          <w:lang w:val="en-US"/>
        </w:rPr>
        <w:t>а) ученици в дневна форма на обучение с навършени 10 години и студенти редовно обучение, включително докторан</w:t>
      </w:r>
      <w:r>
        <w:rPr>
          <w:lang w:val="en-US"/>
        </w:rPr>
        <w:t xml:space="preserve">ти в редовна форма на обучение, учащи в училищата, висшите училища и научните организации, включени в Регистъра на средните училища и детските градини и в Регистъра на акредитираните висши училища в Министерството на образованието и науката (МОН) – със 70 </w:t>
      </w:r>
      <w:r>
        <w:rPr>
          <w:lang w:val="en-US"/>
        </w:rPr>
        <w:t>на сто;</w:t>
      </w:r>
    </w:p>
    <w:p w:rsidR="00BE7751" w:rsidRDefault="00E95112">
      <w:pPr>
        <w:rPr>
          <w:lang w:val="en-US"/>
        </w:rPr>
      </w:pPr>
      <w:r>
        <w:rPr>
          <w:lang w:val="en-US"/>
        </w:rPr>
        <w:t>б) лица, получаващи пенсия при условията на глава шеста от Кодекса за социално осигуряване, навършили възраст по чл. 68, ал. 1 – 3 от същия кодекс – с 40 на сто;</w:t>
      </w:r>
    </w:p>
    <w:p w:rsidR="00BE7751" w:rsidRDefault="00E95112">
      <w:pPr>
        <w:rPr>
          <w:lang w:val="en-US"/>
        </w:rPr>
      </w:pPr>
      <w:r>
        <w:rPr>
          <w:lang w:val="en-US"/>
        </w:rPr>
        <w:t>2. с абонаментни карти за пътуване по междуселищни автобусни линии от общинските и обл</w:t>
      </w:r>
      <w:r>
        <w:rPr>
          <w:lang w:val="en-US"/>
        </w:rPr>
        <w:t>астните транспортни схеми:</w:t>
      </w:r>
    </w:p>
    <w:p w:rsidR="00BE7751" w:rsidRDefault="00E95112">
      <w:pPr>
        <w:rPr>
          <w:lang w:val="en-US"/>
        </w:rPr>
      </w:pPr>
      <w:r>
        <w:rPr>
          <w:lang w:val="en-US"/>
        </w:rPr>
        <w:t>а) ученици в дневна форма на обучение с навършени 10 години и студенти редовно обучение, включително докторанти в редовна форма на обучение, учащи в училищата, висшите училища и научните организации, включени в Регистъра на средните училища и детските град</w:t>
      </w:r>
      <w:r>
        <w:rPr>
          <w:lang w:val="en-US"/>
        </w:rPr>
        <w:t>ини и в Регистъра на акредитираните училища на МОН – със 70 на сто;</w:t>
      </w:r>
    </w:p>
    <w:p w:rsidR="00BE7751" w:rsidRDefault="00E95112">
      <w:pPr>
        <w:rPr>
          <w:lang w:val="en-US"/>
        </w:rPr>
      </w:pPr>
      <w:r>
        <w:rPr>
          <w:lang w:val="en-US"/>
        </w:rPr>
        <w:lastRenderedPageBreak/>
        <w:t>б) лица, получаващи пенсия при условията на глава шеста от Кодекса за социално осигуряване, навършили възраст по чл. 68, ал. 1 – 3 от същия кодекс – с 40 на сто.</w:t>
      </w:r>
    </w:p>
    <w:p w:rsidR="00BE7751" w:rsidRDefault="00E95112">
      <w:pPr>
        <w:rPr>
          <w:lang w:val="en-US"/>
        </w:rPr>
      </w:pPr>
      <w:r>
        <w:rPr>
          <w:lang w:val="en-US"/>
        </w:rPr>
        <w:t>(2) За времето от 1 февруа</w:t>
      </w:r>
      <w:r>
        <w:rPr>
          <w:lang w:val="en-US"/>
        </w:rPr>
        <w:t>ри 2023 г. до 31 декември 2023 г. децата до 10 навършени години пътуват безплатно и с превозен документ – карта за безплатно пътуване по вътрешноградския и билет с нулева стойност по междуселищния автомобилен транспорт.</w:t>
      </w:r>
    </w:p>
    <w:p w:rsidR="00BE7751" w:rsidRDefault="00E95112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 xml:space="preserve">§ 2. </w:t>
      </w:r>
      <w:r>
        <w:rPr>
          <w:lang w:val="en-US"/>
        </w:rPr>
        <w:t>(Доп. - ДВ, бр. 104 от 2011 г.,</w:t>
      </w:r>
      <w:r>
        <w:rPr>
          <w:lang w:val="en-US"/>
        </w:rPr>
        <w:t xml:space="preserve"> изм., бр. 36 от 2022 г., предишен параграф единствен, бр. 9 от 2023 г., в сила от 1.02.2023 г.) Изпълнението на това постановление се възлага на министъра на транспорта и съобщенията, който дава указания по прилагането му. </w:t>
      </w:r>
    </w:p>
    <w:p w:rsidR="00BE7751" w:rsidRDefault="00E95112">
      <w:pPr>
        <w:spacing w:before="120"/>
        <w:ind w:firstLine="990"/>
        <w:rPr>
          <w:lang w:val="en-US"/>
        </w:rPr>
      </w:pPr>
      <w:r>
        <w:rPr>
          <w:noProof/>
        </w:rPr>
        <w:drawing>
          <wp:inline distT="0" distB="0" distL="0" distR="0">
            <wp:extent cx="6332220" cy="19050"/>
            <wp:effectExtent l="0" t="0" r="0" b="0"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33222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7751" w:rsidRDefault="00BE7751">
      <w:pPr>
        <w:spacing w:before="120"/>
        <w:ind w:firstLine="990"/>
        <w:rPr>
          <w:lang w:val="en-US"/>
        </w:rPr>
      </w:pPr>
    </w:p>
    <w:p w:rsidR="00BE7751" w:rsidRDefault="00E95112">
      <w:pPr>
        <w:spacing w:before="120"/>
        <w:ind w:firstLine="990"/>
        <w:rPr>
          <w:lang w:val="en-US"/>
        </w:rPr>
      </w:pPr>
      <w:r>
        <w:rPr>
          <w:lang w:val="en-US"/>
        </w:rPr>
        <w:t>ПОСТАНОВЛЕНИЕ № 352</w:t>
      </w:r>
    </w:p>
    <w:p w:rsidR="00BE7751" w:rsidRDefault="00E95112">
      <w:pPr>
        <w:rPr>
          <w:lang w:val="en-US"/>
        </w:rPr>
      </w:pPr>
      <w:r>
        <w:rPr>
          <w:lang w:val="en-US"/>
        </w:rPr>
        <w:t xml:space="preserve">на Министерския съвет от 22 декември 2011 г. за изменение и допълнение </w:t>
      </w:r>
    </w:p>
    <w:p w:rsidR="00BE7751" w:rsidRDefault="00E95112">
      <w:pPr>
        <w:rPr>
          <w:lang w:val="en-US"/>
        </w:rPr>
      </w:pPr>
      <w:r>
        <w:rPr>
          <w:lang w:val="en-US"/>
        </w:rPr>
        <w:t xml:space="preserve">на Постановление № 66 на Министерския съвет от 1991 г. за определяне </w:t>
      </w:r>
    </w:p>
    <w:p w:rsidR="00BE7751" w:rsidRDefault="00E95112">
      <w:pPr>
        <w:rPr>
          <w:lang w:val="en-US"/>
        </w:rPr>
      </w:pPr>
      <w:r>
        <w:rPr>
          <w:lang w:val="en-US"/>
        </w:rPr>
        <w:t xml:space="preserve">минимални размери на намаленията на превозните цени по автомобилния </w:t>
      </w:r>
    </w:p>
    <w:p w:rsidR="00BE7751" w:rsidRDefault="00E95112">
      <w:pPr>
        <w:rPr>
          <w:lang w:val="en-US"/>
        </w:rPr>
      </w:pPr>
      <w:r>
        <w:rPr>
          <w:lang w:val="en-US"/>
        </w:rPr>
        <w:t xml:space="preserve">транспорт на някои групи граждани </w:t>
      </w:r>
    </w:p>
    <w:p w:rsidR="00BE7751" w:rsidRDefault="00E95112">
      <w:pPr>
        <w:rPr>
          <w:lang w:val="en-US"/>
        </w:rPr>
      </w:pPr>
      <w:r>
        <w:rPr>
          <w:lang w:val="en-US"/>
        </w:rPr>
        <w:t>(ДВ, бр. 1</w:t>
      </w:r>
      <w:r>
        <w:rPr>
          <w:lang w:val="en-US"/>
        </w:rPr>
        <w:t>04 от 2011 г.)</w:t>
      </w:r>
    </w:p>
    <w:p w:rsidR="00BE7751" w:rsidRDefault="00E95112">
      <w:pPr>
        <w:spacing w:before="120"/>
        <w:ind w:firstLine="990"/>
        <w:rPr>
          <w:lang w:val="en-US"/>
        </w:rPr>
      </w:pPr>
      <w:r>
        <w:rPr>
          <w:lang w:val="en-US"/>
        </w:rPr>
        <w:t>..........................................................................................</w:t>
      </w:r>
    </w:p>
    <w:p w:rsidR="00BE7751" w:rsidRDefault="00E95112">
      <w:pPr>
        <w:rPr>
          <w:lang w:val="en-US"/>
        </w:rPr>
      </w:pPr>
      <w:r>
        <w:rPr>
          <w:lang w:val="en-US"/>
        </w:rPr>
        <w:t>§ 6. Навсякъде в постановлението думите "фирми/те" се заменят съответно с "превозвачи/те".</w:t>
      </w:r>
    </w:p>
    <w:p w:rsidR="00BE7751" w:rsidRDefault="00E95112">
      <w:pPr>
        <w:spacing w:before="120"/>
        <w:ind w:firstLine="990"/>
        <w:rPr>
          <w:lang w:val="en-US"/>
        </w:rPr>
      </w:pPr>
      <w:r>
        <w:rPr>
          <w:lang w:val="en-US"/>
        </w:rPr>
        <w:t>ПРЕХОДНИ И ЗАКЛЮЧИТЕЛНИ РАЗПОРЕДБИ</w:t>
      </w:r>
    </w:p>
    <w:p w:rsidR="00BE7751" w:rsidRDefault="00E95112">
      <w:pPr>
        <w:rPr>
          <w:lang w:val="en-US"/>
        </w:rPr>
      </w:pPr>
      <w:r>
        <w:rPr>
          <w:lang w:val="en-US"/>
        </w:rPr>
        <w:t>към Постановление № 10 н</w:t>
      </w:r>
      <w:r>
        <w:rPr>
          <w:lang w:val="en-US"/>
        </w:rPr>
        <w:t xml:space="preserve">а Министерския съвет от 25 януари 2023 г. </w:t>
      </w:r>
    </w:p>
    <w:p w:rsidR="00BE7751" w:rsidRDefault="00E95112">
      <w:pPr>
        <w:rPr>
          <w:lang w:val="en-US"/>
        </w:rPr>
      </w:pPr>
      <w:r>
        <w:rPr>
          <w:lang w:val="en-US"/>
        </w:rPr>
        <w:t xml:space="preserve">за изменение и допълнение на нормативни актове на Министерския съвет </w:t>
      </w:r>
    </w:p>
    <w:p w:rsidR="00BE7751" w:rsidRDefault="00E95112">
      <w:pPr>
        <w:rPr>
          <w:lang w:val="en-US"/>
        </w:rPr>
      </w:pPr>
      <w:r>
        <w:rPr>
          <w:lang w:val="en-US"/>
        </w:rPr>
        <w:t>(ДВ, бр. 9 от 2023 г., в сила от 1.02.2023 г.)</w:t>
      </w:r>
    </w:p>
    <w:p w:rsidR="00BE7751" w:rsidRDefault="00E95112">
      <w:pPr>
        <w:spacing w:before="120"/>
        <w:ind w:firstLine="990"/>
        <w:rPr>
          <w:lang w:val="en-US"/>
        </w:rPr>
      </w:pPr>
      <w:r>
        <w:rPr>
          <w:lang w:val="en-US"/>
        </w:rPr>
        <w:t>§ 4. Превозвачите анулират издадените преди влизането в сила на това постановление абонаментни к</w:t>
      </w:r>
      <w:r>
        <w:rPr>
          <w:lang w:val="en-US"/>
        </w:rPr>
        <w:t>арти, които са със срок на валидност повече от един месец, като възстановяват на правоимащите пропорционално разликата между новата цена и цената на абонаментната карта преди влизането в сила на това постановление само за частта на валидност на документа о</w:t>
      </w:r>
      <w:r>
        <w:rPr>
          <w:lang w:val="en-US"/>
        </w:rPr>
        <w:t>т 1 февруари 2023 г. до крайния срок на действие и издават нови абонаментни карти при условията на това постановление.</w:t>
      </w:r>
    </w:p>
    <w:p w:rsidR="00BE7751" w:rsidRDefault="00E95112">
      <w:pPr>
        <w:spacing w:before="120"/>
        <w:ind w:firstLine="990"/>
        <w:rPr>
          <w:lang w:val="en-US"/>
        </w:rPr>
      </w:pPr>
      <w:r>
        <w:rPr>
          <w:lang w:val="en-US"/>
        </w:rPr>
        <w:t>§ 5. (1) Одобрява средства в размер 73 000 хил. лв. за изпълнението на § 2 и 3.</w:t>
      </w:r>
    </w:p>
    <w:p w:rsidR="00BE7751" w:rsidRDefault="00E95112">
      <w:pPr>
        <w:rPr>
          <w:lang w:val="en-US"/>
        </w:rPr>
      </w:pPr>
      <w:r>
        <w:rPr>
          <w:lang w:val="en-US"/>
        </w:rPr>
        <w:t xml:space="preserve">(2) Средствата по ал. 1 се предоставят като трансфери за </w:t>
      </w:r>
      <w:r>
        <w:rPr>
          <w:lang w:val="en-US"/>
        </w:rPr>
        <w:t>други целеви разходи на общините чрез централния бюджет за сметка на средствата по чл. 1 от Постановление № 496 на Министерския съвет от 2022 г. за одобряване на допълнителни разходи по бюджета на Министерството на финансите за 2022 г. (ДВ, бр. 1 от 2023 г</w:t>
      </w:r>
      <w:r>
        <w:rPr>
          <w:lang w:val="en-US"/>
        </w:rPr>
        <w:t>.) по реда на чл. 4, ал. 3 от същото постановление.</w:t>
      </w:r>
    </w:p>
    <w:p w:rsidR="00BE7751" w:rsidRDefault="00E95112">
      <w:pPr>
        <w:rPr>
          <w:lang w:val="en-US"/>
        </w:rPr>
      </w:pPr>
      <w:r>
        <w:rPr>
          <w:lang w:val="en-US"/>
        </w:rPr>
        <w:t>..........................................................................................</w:t>
      </w:r>
    </w:p>
    <w:sectPr w:rsidR="00BE77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1" w:h="15841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112" w:rsidRDefault="00E95112">
      <w:r>
        <w:separator/>
      </w:r>
    </w:p>
  </w:endnote>
  <w:endnote w:type="continuationSeparator" w:id="0">
    <w:p w:rsidR="00E95112" w:rsidRDefault="00E9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2B" w:rsidRDefault="00636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"/>
      <w:gridCol w:w="9425"/>
    </w:tblGrid>
    <w:tr w:rsidR="00BE7751"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BE7751" w:rsidRDefault="00BE7751">
          <w:pPr>
            <w:spacing w:before="75"/>
            <w:ind w:right="150"/>
            <w:rPr>
              <w:rFonts w:ascii="Verdana" w:eastAsia="Verdana" w:hAnsi="Verdana" w:cs="Verdana"/>
              <w:color w:val="000000"/>
              <w:sz w:val="15"/>
              <w:szCs w:val="15"/>
              <w:lang w:val="en-US"/>
            </w:rPr>
          </w:pPr>
          <w:bookmarkStart w:id="0" w:name="_GoBack"/>
          <w:bookmarkEnd w:id="0"/>
        </w:p>
      </w:tc>
      <w:tc>
        <w:tcPr>
          <w:tcW w:w="9425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BE7751" w:rsidRDefault="00BE7751">
          <w:pPr>
            <w:rPr>
              <w:rFonts w:ascii="Verdana" w:eastAsia="Verdana" w:hAnsi="Verdana" w:cs="Verdana"/>
              <w:color w:val="000000"/>
              <w:sz w:val="18"/>
              <w:szCs w:val="18"/>
              <w:lang w:val="en-US"/>
            </w:rPr>
          </w:pPr>
        </w:p>
      </w:tc>
    </w:tr>
  </w:tbl>
  <w:p w:rsidR="00BE7751" w:rsidRDefault="00E95112">
    <w:pPr>
      <w:jc w:val="right"/>
    </w:pPr>
    <w:r>
      <w:rPr>
        <w:rFonts w:ascii="Arial" w:eastAsia="Arial" w:hAnsi="Arial" w:cs="Arial"/>
        <w:sz w:val="20"/>
        <w:szCs w:val="20"/>
      </w:rPr>
      <w:t xml:space="preserve">стр.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</w:instrText>
    </w:r>
    <w:r w:rsidR="0063662B">
      <w:rPr>
        <w:rFonts w:ascii="Arial" w:eastAsia="Arial" w:hAnsi="Arial" w:cs="Arial"/>
        <w:sz w:val="20"/>
        <w:szCs w:val="20"/>
      </w:rPr>
      <w:fldChar w:fldCharType="separate"/>
    </w:r>
    <w:r w:rsidR="0063662B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от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NUMPAGES</w:instrText>
    </w:r>
    <w:r w:rsidR="0063662B">
      <w:rPr>
        <w:rFonts w:ascii="Arial" w:eastAsia="Arial" w:hAnsi="Arial" w:cs="Arial"/>
        <w:sz w:val="20"/>
        <w:szCs w:val="20"/>
      </w:rPr>
      <w:fldChar w:fldCharType="separate"/>
    </w:r>
    <w:r w:rsidR="0063662B">
      <w:rPr>
        <w:rFonts w:ascii="Arial" w:eastAsia="Arial" w:hAnsi="Arial" w:cs="Arial"/>
        <w:noProof/>
        <w:sz w:val="20"/>
        <w:szCs w:val="20"/>
      </w:rPr>
      <w:t>3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2B" w:rsidRDefault="00636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112" w:rsidRDefault="00E95112">
      <w:r>
        <w:separator/>
      </w:r>
    </w:p>
  </w:footnote>
  <w:footnote w:type="continuationSeparator" w:id="0">
    <w:p w:rsidR="00E95112" w:rsidRDefault="00E9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2B" w:rsidRDefault="00636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2B" w:rsidRDefault="00636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2B" w:rsidRDefault="006366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51"/>
    <w:rsid w:val="0063662B"/>
    <w:rsid w:val="00BE7751"/>
    <w:rsid w:val="00E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CB57A29-52F9-4945-B575-CDB74DFA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6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62B"/>
  </w:style>
  <w:style w:type="paragraph" w:styleId="Footer">
    <w:name w:val="footer"/>
    <w:basedOn w:val="Normal"/>
    <w:link w:val="FooterChar"/>
    <w:uiPriority w:val="99"/>
    <w:unhideWhenUsed/>
    <w:rsid w:val="00636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Kutsarova</dc:creator>
  <cp:lastModifiedBy>Biserka Kutsarova</cp:lastModifiedBy>
  <cp:revision>2</cp:revision>
  <dcterms:created xsi:type="dcterms:W3CDTF">2023-02-21T08:33:00Z</dcterms:created>
  <dcterms:modified xsi:type="dcterms:W3CDTF">2023-02-21T08:33:00Z</dcterms:modified>
  <cp:contentStatus>Created by the \'abHTML to RTF .Net\'bb 7.4.4.30</cp:contentStatus>
</cp:coreProperties>
</file>