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7E3" w:rsidRDefault="00B95A94" w:rsidP="006835D1">
      <w:pPr>
        <w:spacing w:after="0" w:line="240" w:lineRule="auto"/>
        <w:jc w:val="center"/>
        <w:rPr>
          <w:rFonts w:ascii="Times New Roman" w:hAnsi="Times New Roman" w:cs="Times New Roman"/>
          <w:b/>
          <w:sz w:val="28"/>
          <w:szCs w:val="28"/>
        </w:rPr>
      </w:pPr>
      <w:r w:rsidRPr="00B95A94">
        <w:rPr>
          <w:rFonts w:ascii="Times New Roman" w:hAnsi="Times New Roman" w:cs="Times New Roman"/>
          <w:b/>
          <w:sz w:val="28"/>
          <w:szCs w:val="28"/>
        </w:rPr>
        <w:t xml:space="preserve">Техническо предложение </w:t>
      </w:r>
    </w:p>
    <w:p w:rsidR="006835D1" w:rsidRPr="006835D1" w:rsidRDefault="006835D1" w:rsidP="006835D1">
      <w:pPr>
        <w:spacing w:after="0" w:line="240" w:lineRule="auto"/>
        <w:jc w:val="center"/>
        <w:rPr>
          <w:rFonts w:ascii="Times New Roman" w:hAnsi="Times New Roman" w:cs="Times New Roman"/>
          <w:b/>
          <w:sz w:val="28"/>
          <w:szCs w:val="28"/>
        </w:rPr>
      </w:pPr>
      <w:r w:rsidRPr="006835D1">
        <w:rPr>
          <w:rFonts w:ascii="Times New Roman" w:hAnsi="Times New Roman" w:cs="Times New Roman"/>
          <w:b/>
          <w:sz w:val="28"/>
          <w:szCs w:val="28"/>
        </w:rPr>
        <w:t>въз основа на сключено Рамково споразумение</w:t>
      </w:r>
    </w:p>
    <w:p w:rsidR="00653E47" w:rsidRPr="00653E47" w:rsidRDefault="00653E47" w:rsidP="00653E47">
      <w:pPr>
        <w:ind w:left="426" w:firstLine="294"/>
        <w:jc w:val="center"/>
        <w:rPr>
          <w:rFonts w:ascii="Times New Roman" w:hAnsi="Times New Roman" w:cs="Times New Roman"/>
          <w:b/>
          <w:sz w:val="28"/>
          <w:szCs w:val="28"/>
        </w:rPr>
      </w:pPr>
      <w:r>
        <w:rPr>
          <w:rFonts w:ascii="Times New Roman" w:hAnsi="Times New Roman" w:cs="Times New Roman"/>
          <w:b/>
          <w:sz w:val="28"/>
          <w:szCs w:val="28"/>
        </w:rPr>
        <w:t>№</w:t>
      </w:r>
      <w:r w:rsidRPr="00653E47">
        <w:rPr>
          <w:rFonts w:ascii="Times New Roman" w:hAnsi="Times New Roman" w:cs="Times New Roman"/>
          <w:b/>
          <w:sz w:val="28"/>
          <w:szCs w:val="28"/>
        </w:rPr>
        <w:t xml:space="preserve"> СПОР-2/10.03.2020 г., с предмет „Доставка на компютри и периферни устройства за нуждите на органите на изпълнителната власт и техните администрации“ обособена позиция № 1 „Доставка на компютърни конфигурации“ </w:t>
      </w:r>
    </w:p>
    <w:p w:rsidR="006835D1" w:rsidRDefault="006835D1" w:rsidP="00653E47">
      <w:pPr>
        <w:spacing w:after="0" w:line="240" w:lineRule="auto"/>
        <w:jc w:val="center"/>
        <w:rPr>
          <w:rFonts w:ascii="Times New Roman" w:hAnsi="Times New Roman" w:cs="Times New Roman"/>
          <w:b/>
          <w:sz w:val="28"/>
          <w:szCs w:val="28"/>
        </w:rPr>
      </w:pPr>
    </w:p>
    <w:tbl>
      <w:tblPr>
        <w:tblStyle w:val="TableGrid"/>
        <w:tblW w:w="0" w:type="auto"/>
        <w:tblInd w:w="4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82"/>
        <w:gridCol w:w="3431"/>
        <w:gridCol w:w="3429"/>
        <w:gridCol w:w="3136"/>
      </w:tblGrid>
      <w:tr w:rsidR="00654983" w:rsidTr="00CD07FD">
        <w:tc>
          <w:tcPr>
            <w:tcW w:w="2982" w:type="dxa"/>
            <w:shd w:val="clear" w:color="auto" w:fill="E7E6E6" w:themeFill="background2"/>
          </w:tcPr>
          <w:p w:rsidR="00654983" w:rsidRDefault="00654983" w:rsidP="00CD07FD">
            <w:r w:rsidRPr="005D0AA7">
              <w:rPr>
                <w:rFonts w:ascii="Times New Roman" w:eastAsia="Times New Roman" w:hAnsi="Times New Roman" w:cs="Times New Roman"/>
                <w:b/>
                <w:bCs/>
                <w:color w:val="000000"/>
                <w:sz w:val="24"/>
                <w:szCs w:val="24"/>
                <w:lang w:eastAsia="bg-BG"/>
              </w:rPr>
              <w:t>Устройство</w:t>
            </w:r>
          </w:p>
        </w:tc>
        <w:tc>
          <w:tcPr>
            <w:tcW w:w="3431" w:type="dxa"/>
            <w:shd w:val="clear" w:color="auto" w:fill="E7E6E6" w:themeFill="background2"/>
          </w:tcPr>
          <w:p w:rsidR="00654983" w:rsidRPr="00654983" w:rsidRDefault="00654983" w:rsidP="00CD07FD">
            <w:pPr>
              <w:rPr>
                <w:rFonts w:ascii="Times New Roman" w:hAnsi="Times New Roman" w:cs="Times New Roman"/>
                <w:b/>
                <w:sz w:val="24"/>
                <w:szCs w:val="24"/>
              </w:rPr>
            </w:pPr>
            <w:r w:rsidRPr="00DD6A54">
              <w:rPr>
                <w:rFonts w:ascii="Times New Roman" w:hAnsi="Times New Roman" w:cs="Times New Roman"/>
                <w:b/>
                <w:sz w:val="24"/>
                <w:szCs w:val="24"/>
              </w:rPr>
              <w:t>Марка:</w:t>
            </w:r>
          </w:p>
        </w:tc>
        <w:tc>
          <w:tcPr>
            <w:tcW w:w="3429" w:type="dxa"/>
            <w:shd w:val="clear" w:color="auto" w:fill="E7E6E6" w:themeFill="background2"/>
          </w:tcPr>
          <w:p w:rsidR="00654983" w:rsidRPr="00654983" w:rsidRDefault="00654983" w:rsidP="00CD07FD">
            <w:pPr>
              <w:rPr>
                <w:rFonts w:ascii="Times New Roman" w:hAnsi="Times New Roman" w:cs="Times New Roman"/>
                <w:b/>
                <w:sz w:val="24"/>
                <w:szCs w:val="24"/>
              </w:rPr>
            </w:pPr>
            <w:r>
              <w:rPr>
                <w:rFonts w:ascii="Times New Roman" w:hAnsi="Times New Roman" w:cs="Times New Roman"/>
                <w:b/>
                <w:sz w:val="24"/>
                <w:szCs w:val="24"/>
              </w:rPr>
              <w:t>Модел:</w:t>
            </w:r>
          </w:p>
        </w:tc>
        <w:tc>
          <w:tcPr>
            <w:tcW w:w="3136" w:type="dxa"/>
            <w:shd w:val="clear" w:color="auto" w:fill="E7E6E6" w:themeFill="background2"/>
          </w:tcPr>
          <w:p w:rsidR="00654983" w:rsidRPr="00654983" w:rsidRDefault="00654983" w:rsidP="00CD07FD">
            <w:pPr>
              <w:rPr>
                <w:rFonts w:ascii="Times New Roman" w:hAnsi="Times New Roman" w:cs="Times New Roman"/>
                <w:b/>
                <w:sz w:val="24"/>
                <w:szCs w:val="24"/>
              </w:rPr>
            </w:pPr>
            <w:r w:rsidRPr="00DD6A54">
              <w:rPr>
                <w:rFonts w:ascii="Times New Roman" w:hAnsi="Times New Roman" w:cs="Times New Roman"/>
                <w:b/>
                <w:sz w:val="24"/>
                <w:szCs w:val="24"/>
              </w:rPr>
              <w:t>Продуктов номер:</w:t>
            </w:r>
          </w:p>
        </w:tc>
      </w:tr>
      <w:tr w:rsidR="00654983" w:rsidTr="00CD07FD">
        <w:tc>
          <w:tcPr>
            <w:tcW w:w="2982" w:type="dxa"/>
          </w:tcPr>
          <w:p w:rsidR="00654983" w:rsidRDefault="005F7271" w:rsidP="00CD07FD">
            <w:r w:rsidRPr="005F7271">
              <w:rPr>
                <w:rFonts w:ascii="Times New Roman" w:eastAsia="Times New Roman" w:hAnsi="Times New Roman" w:cs="Times New Roman"/>
                <w:b/>
                <w:color w:val="000000"/>
                <w:sz w:val="24"/>
                <w:szCs w:val="24"/>
                <w:lang w:eastAsia="bg-BG"/>
              </w:rPr>
              <w:t>[КПУ-1.1.]</w:t>
            </w:r>
            <w:r>
              <w:rPr>
                <w:rFonts w:ascii="Times New Roman" w:eastAsia="Times New Roman" w:hAnsi="Times New Roman" w:cs="Times New Roman"/>
                <w:b/>
                <w:color w:val="000000"/>
                <w:sz w:val="24"/>
                <w:szCs w:val="24"/>
                <w:lang w:eastAsia="bg-BG"/>
              </w:rPr>
              <w:t xml:space="preserve"> </w:t>
            </w:r>
            <w:r w:rsidR="00654983" w:rsidRPr="005D0AA7">
              <w:rPr>
                <w:rFonts w:ascii="Times New Roman" w:eastAsia="Times New Roman" w:hAnsi="Times New Roman" w:cs="Times New Roman"/>
                <w:b/>
                <w:color w:val="000000"/>
                <w:sz w:val="24"/>
                <w:szCs w:val="24"/>
                <w:lang w:eastAsia="bg-BG"/>
              </w:rPr>
              <w:t>Компютър I вид</w:t>
            </w:r>
          </w:p>
        </w:tc>
        <w:tc>
          <w:tcPr>
            <w:tcW w:w="3431" w:type="dxa"/>
          </w:tcPr>
          <w:p w:rsidR="00654983" w:rsidRDefault="00654983" w:rsidP="00CD07FD"/>
        </w:tc>
        <w:tc>
          <w:tcPr>
            <w:tcW w:w="3429" w:type="dxa"/>
          </w:tcPr>
          <w:p w:rsidR="00654983" w:rsidRDefault="00654983" w:rsidP="00CD07FD"/>
        </w:tc>
        <w:tc>
          <w:tcPr>
            <w:tcW w:w="3136" w:type="dxa"/>
          </w:tcPr>
          <w:p w:rsidR="00654983" w:rsidRDefault="00654983" w:rsidP="00CD07FD"/>
        </w:tc>
      </w:tr>
      <w:tr w:rsidR="00654983" w:rsidTr="00CD07FD">
        <w:tc>
          <w:tcPr>
            <w:tcW w:w="2982" w:type="dxa"/>
          </w:tcPr>
          <w:p w:rsidR="00654983" w:rsidRDefault="005F7271" w:rsidP="00CD07FD">
            <w:r>
              <w:rPr>
                <w:rFonts w:ascii="Times New Roman" w:eastAsia="Times New Roman" w:hAnsi="Times New Roman" w:cs="Times New Roman"/>
                <w:b/>
                <w:color w:val="000000"/>
                <w:sz w:val="24"/>
                <w:szCs w:val="24"/>
                <w:lang w:eastAsia="bg-BG"/>
              </w:rPr>
              <w:t>[КПУ-1.6</w:t>
            </w:r>
            <w:r w:rsidRPr="005F7271">
              <w:rPr>
                <w:rFonts w:ascii="Times New Roman" w:eastAsia="Times New Roman" w:hAnsi="Times New Roman" w:cs="Times New Roman"/>
                <w:b/>
                <w:color w:val="000000"/>
                <w:sz w:val="24"/>
                <w:szCs w:val="24"/>
                <w:lang w:eastAsia="bg-BG"/>
              </w:rPr>
              <w:t xml:space="preserve">] </w:t>
            </w:r>
            <w:r w:rsidR="00654983" w:rsidRPr="005D0AA7">
              <w:rPr>
                <w:rFonts w:ascii="Times New Roman" w:eastAsia="Times New Roman" w:hAnsi="Times New Roman" w:cs="Times New Roman"/>
                <w:b/>
                <w:color w:val="000000"/>
                <w:sz w:val="24"/>
                <w:szCs w:val="24"/>
                <w:lang w:eastAsia="bg-BG"/>
              </w:rPr>
              <w:t>Монитор I</w:t>
            </w:r>
            <w:r w:rsidR="00654983">
              <w:rPr>
                <w:rFonts w:ascii="Times New Roman" w:eastAsia="Times New Roman" w:hAnsi="Times New Roman" w:cs="Times New Roman"/>
                <w:b/>
                <w:color w:val="000000"/>
                <w:sz w:val="24"/>
                <w:szCs w:val="24"/>
                <w:lang w:val="en-US" w:eastAsia="bg-BG"/>
              </w:rPr>
              <w:t>I</w:t>
            </w:r>
            <w:r w:rsidR="00654983" w:rsidRPr="005D0AA7">
              <w:rPr>
                <w:rFonts w:ascii="Times New Roman" w:eastAsia="Times New Roman" w:hAnsi="Times New Roman" w:cs="Times New Roman"/>
                <w:b/>
                <w:color w:val="000000"/>
                <w:sz w:val="24"/>
                <w:szCs w:val="24"/>
                <w:lang w:eastAsia="bg-BG"/>
              </w:rPr>
              <w:t xml:space="preserve"> вид</w:t>
            </w:r>
          </w:p>
        </w:tc>
        <w:tc>
          <w:tcPr>
            <w:tcW w:w="3431" w:type="dxa"/>
          </w:tcPr>
          <w:p w:rsidR="00654983" w:rsidRDefault="00654983" w:rsidP="00CD07FD"/>
        </w:tc>
        <w:tc>
          <w:tcPr>
            <w:tcW w:w="3429" w:type="dxa"/>
          </w:tcPr>
          <w:p w:rsidR="00654983" w:rsidRDefault="00654983" w:rsidP="00CD07FD"/>
        </w:tc>
        <w:tc>
          <w:tcPr>
            <w:tcW w:w="3136" w:type="dxa"/>
          </w:tcPr>
          <w:p w:rsidR="00654983" w:rsidRDefault="00654983" w:rsidP="00CD07FD"/>
        </w:tc>
      </w:tr>
      <w:tr w:rsidR="00654983" w:rsidTr="00CD07FD">
        <w:tc>
          <w:tcPr>
            <w:tcW w:w="2982" w:type="dxa"/>
          </w:tcPr>
          <w:p w:rsidR="00654983" w:rsidRDefault="005F7271" w:rsidP="00CD07FD">
            <w:r>
              <w:rPr>
                <w:rFonts w:ascii="Times New Roman" w:eastAsia="Times New Roman" w:hAnsi="Times New Roman" w:cs="Times New Roman"/>
                <w:b/>
                <w:color w:val="000000"/>
                <w:sz w:val="24"/>
                <w:szCs w:val="24"/>
                <w:lang w:eastAsia="bg-BG"/>
              </w:rPr>
              <w:t>[КПУ-1.8</w:t>
            </w:r>
            <w:r w:rsidRPr="005F7271">
              <w:rPr>
                <w:rFonts w:ascii="Times New Roman" w:eastAsia="Times New Roman" w:hAnsi="Times New Roman" w:cs="Times New Roman"/>
                <w:b/>
                <w:color w:val="000000"/>
                <w:sz w:val="24"/>
                <w:szCs w:val="24"/>
                <w:lang w:eastAsia="bg-BG"/>
              </w:rPr>
              <w:t xml:space="preserve">] </w:t>
            </w:r>
            <w:r w:rsidR="00654983" w:rsidRPr="005D0AA7">
              <w:rPr>
                <w:rFonts w:ascii="Times New Roman" w:eastAsia="Times New Roman" w:hAnsi="Times New Roman" w:cs="Times New Roman"/>
                <w:b/>
                <w:color w:val="000000"/>
                <w:sz w:val="24"/>
                <w:szCs w:val="24"/>
                <w:lang w:eastAsia="bg-BG"/>
              </w:rPr>
              <w:t>Клавиатура I вид</w:t>
            </w:r>
          </w:p>
        </w:tc>
        <w:tc>
          <w:tcPr>
            <w:tcW w:w="3431" w:type="dxa"/>
          </w:tcPr>
          <w:p w:rsidR="00654983" w:rsidRDefault="00654983" w:rsidP="00CD07FD"/>
        </w:tc>
        <w:tc>
          <w:tcPr>
            <w:tcW w:w="3429" w:type="dxa"/>
          </w:tcPr>
          <w:p w:rsidR="00654983" w:rsidRDefault="00654983" w:rsidP="00CD07FD"/>
        </w:tc>
        <w:tc>
          <w:tcPr>
            <w:tcW w:w="3136" w:type="dxa"/>
          </w:tcPr>
          <w:p w:rsidR="00654983" w:rsidRDefault="00654983" w:rsidP="00CD07FD"/>
        </w:tc>
      </w:tr>
      <w:tr w:rsidR="00654983" w:rsidTr="00CD07FD">
        <w:tc>
          <w:tcPr>
            <w:tcW w:w="2982" w:type="dxa"/>
          </w:tcPr>
          <w:p w:rsidR="00654983" w:rsidRDefault="005F7271" w:rsidP="00CD07FD">
            <w:pPr>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[КПУ-1.10</w:t>
            </w:r>
            <w:r w:rsidRPr="005F7271">
              <w:rPr>
                <w:rFonts w:ascii="Times New Roman" w:eastAsia="Times New Roman" w:hAnsi="Times New Roman" w:cs="Times New Roman"/>
                <w:b/>
                <w:color w:val="000000"/>
                <w:sz w:val="24"/>
                <w:szCs w:val="24"/>
                <w:lang w:eastAsia="bg-BG"/>
              </w:rPr>
              <w:t xml:space="preserve">] </w:t>
            </w:r>
            <w:r w:rsidR="00654983" w:rsidRPr="005D0AA7">
              <w:rPr>
                <w:rFonts w:ascii="Times New Roman" w:eastAsia="Times New Roman" w:hAnsi="Times New Roman" w:cs="Times New Roman"/>
                <w:b/>
                <w:color w:val="000000"/>
                <w:sz w:val="24"/>
                <w:szCs w:val="24"/>
                <w:lang w:eastAsia="bg-BG"/>
              </w:rPr>
              <w:t>Мишка</w:t>
            </w:r>
          </w:p>
        </w:tc>
        <w:tc>
          <w:tcPr>
            <w:tcW w:w="3431" w:type="dxa"/>
          </w:tcPr>
          <w:p w:rsidR="00654983" w:rsidRDefault="00654983" w:rsidP="00CD07FD"/>
        </w:tc>
        <w:tc>
          <w:tcPr>
            <w:tcW w:w="3429" w:type="dxa"/>
          </w:tcPr>
          <w:p w:rsidR="00654983" w:rsidRDefault="00654983" w:rsidP="00CD07FD"/>
        </w:tc>
        <w:tc>
          <w:tcPr>
            <w:tcW w:w="3136" w:type="dxa"/>
          </w:tcPr>
          <w:p w:rsidR="00654983" w:rsidRDefault="00654983" w:rsidP="00CD07FD"/>
        </w:tc>
      </w:tr>
    </w:tbl>
    <w:p w:rsidR="00B95A94" w:rsidRDefault="00B95A94">
      <w:bookmarkStart w:id="0" w:name="RANGE!A1:C91"/>
      <w:bookmarkEnd w:id="0"/>
    </w:p>
    <w:p w:rsidR="002B426F" w:rsidRDefault="002B426F" w:rsidP="002B426F">
      <w:pPr>
        <w:tabs>
          <w:tab w:val="left" w:pos="315"/>
          <w:tab w:val="left" w:pos="3255"/>
        </w:tabs>
        <w:rPr>
          <w:rFonts w:ascii="Times New Roman" w:hAnsi="Times New Roman" w:cs="Times New Roman"/>
          <w:b/>
          <w:sz w:val="24"/>
          <w:szCs w:val="24"/>
        </w:rPr>
      </w:pPr>
    </w:p>
    <w:tbl>
      <w:tblPr>
        <w:tblW w:w="14459" w:type="dxa"/>
        <w:tblInd w:w="-307" w:type="dxa"/>
        <w:tblCellMar>
          <w:left w:w="70" w:type="dxa"/>
          <w:right w:w="70" w:type="dxa"/>
        </w:tblCellMar>
        <w:tblLook w:val="04A0" w:firstRow="1" w:lastRow="0" w:firstColumn="1" w:lastColumn="0" w:noHBand="0" w:noVBand="1"/>
      </w:tblPr>
      <w:tblGrid>
        <w:gridCol w:w="1448"/>
        <w:gridCol w:w="1843"/>
        <w:gridCol w:w="5782"/>
        <w:gridCol w:w="5386"/>
      </w:tblGrid>
      <w:tr w:rsidR="002B426F" w:rsidRPr="005D0AA7" w:rsidTr="002B426F">
        <w:trPr>
          <w:trHeight w:val="345"/>
          <w:tblHeader/>
        </w:trPr>
        <w:tc>
          <w:tcPr>
            <w:tcW w:w="1448" w:type="dxa"/>
            <w:tcBorders>
              <w:top w:val="double" w:sz="6" w:space="0" w:color="auto"/>
              <w:left w:val="double" w:sz="6" w:space="0" w:color="auto"/>
              <w:bottom w:val="single" w:sz="8" w:space="0" w:color="auto"/>
              <w:right w:val="single" w:sz="8" w:space="0" w:color="auto"/>
            </w:tcBorders>
            <w:shd w:val="clear" w:color="000000" w:fill="F2F2F2"/>
            <w:vAlign w:val="center"/>
            <w:hideMark/>
          </w:tcPr>
          <w:p w:rsidR="002B426F" w:rsidRPr="005D0AA7" w:rsidRDefault="002B426F" w:rsidP="00533A80">
            <w:pPr>
              <w:spacing w:after="0" w:line="240" w:lineRule="auto"/>
              <w:jc w:val="center"/>
              <w:rPr>
                <w:rFonts w:ascii="Times New Roman" w:eastAsia="Times New Roman" w:hAnsi="Times New Roman" w:cs="Times New Roman"/>
                <w:b/>
                <w:bCs/>
                <w:color w:val="000000"/>
                <w:sz w:val="24"/>
                <w:szCs w:val="24"/>
                <w:lang w:eastAsia="bg-BG"/>
              </w:rPr>
            </w:pPr>
            <w:r w:rsidRPr="005D0AA7">
              <w:rPr>
                <w:rFonts w:ascii="Times New Roman" w:eastAsia="Times New Roman" w:hAnsi="Times New Roman" w:cs="Times New Roman"/>
                <w:b/>
                <w:bCs/>
                <w:color w:val="000000"/>
                <w:sz w:val="24"/>
                <w:szCs w:val="24"/>
                <w:lang w:eastAsia="bg-BG"/>
              </w:rPr>
              <w:t>Устройство</w:t>
            </w:r>
          </w:p>
        </w:tc>
        <w:tc>
          <w:tcPr>
            <w:tcW w:w="1843" w:type="dxa"/>
            <w:tcBorders>
              <w:top w:val="double" w:sz="6" w:space="0" w:color="auto"/>
              <w:left w:val="nil"/>
              <w:bottom w:val="single" w:sz="8" w:space="0" w:color="auto"/>
              <w:right w:val="single" w:sz="8" w:space="0" w:color="auto"/>
            </w:tcBorders>
            <w:shd w:val="clear" w:color="000000" w:fill="F2F2F2"/>
            <w:vAlign w:val="center"/>
            <w:hideMark/>
          </w:tcPr>
          <w:p w:rsidR="002B426F" w:rsidRPr="005D0AA7" w:rsidRDefault="002B426F" w:rsidP="00533A80">
            <w:pPr>
              <w:spacing w:after="0" w:line="240" w:lineRule="auto"/>
              <w:jc w:val="center"/>
              <w:rPr>
                <w:rFonts w:ascii="Times New Roman" w:eastAsia="Times New Roman" w:hAnsi="Times New Roman" w:cs="Times New Roman"/>
                <w:b/>
                <w:bCs/>
                <w:color w:val="000000"/>
                <w:sz w:val="24"/>
                <w:szCs w:val="24"/>
                <w:lang w:eastAsia="bg-BG"/>
              </w:rPr>
            </w:pPr>
            <w:r w:rsidRPr="005D0AA7">
              <w:rPr>
                <w:rFonts w:ascii="Times New Roman" w:eastAsia="Times New Roman" w:hAnsi="Times New Roman" w:cs="Times New Roman"/>
                <w:b/>
                <w:bCs/>
                <w:color w:val="000000"/>
                <w:sz w:val="24"/>
                <w:szCs w:val="24"/>
                <w:lang w:eastAsia="bg-BG"/>
              </w:rPr>
              <w:t>Показател</w:t>
            </w:r>
          </w:p>
        </w:tc>
        <w:tc>
          <w:tcPr>
            <w:tcW w:w="5782" w:type="dxa"/>
            <w:tcBorders>
              <w:top w:val="double" w:sz="6" w:space="0" w:color="auto"/>
              <w:left w:val="nil"/>
              <w:bottom w:val="single" w:sz="8" w:space="0" w:color="auto"/>
              <w:right w:val="double" w:sz="6" w:space="0" w:color="auto"/>
            </w:tcBorders>
            <w:shd w:val="clear" w:color="000000" w:fill="F2F2F2"/>
            <w:vAlign w:val="center"/>
            <w:hideMark/>
          </w:tcPr>
          <w:p w:rsidR="002B426F" w:rsidRPr="005D0AA7" w:rsidRDefault="002B426F" w:rsidP="00533A80">
            <w:pPr>
              <w:spacing w:after="0" w:line="240" w:lineRule="auto"/>
              <w:jc w:val="center"/>
              <w:rPr>
                <w:rFonts w:ascii="Times New Roman" w:eastAsia="Times New Roman" w:hAnsi="Times New Roman" w:cs="Times New Roman"/>
                <w:b/>
                <w:bCs/>
                <w:color w:val="000000"/>
                <w:sz w:val="24"/>
                <w:szCs w:val="24"/>
                <w:lang w:eastAsia="bg-BG"/>
              </w:rPr>
            </w:pPr>
            <w:r w:rsidRPr="005D0AA7">
              <w:rPr>
                <w:rFonts w:ascii="Times New Roman" w:eastAsia="Times New Roman" w:hAnsi="Times New Roman" w:cs="Times New Roman"/>
                <w:b/>
                <w:bCs/>
                <w:color w:val="000000"/>
                <w:sz w:val="24"/>
                <w:szCs w:val="24"/>
                <w:lang w:eastAsia="bg-BG"/>
              </w:rPr>
              <w:t>Минимални изисквания</w:t>
            </w:r>
          </w:p>
        </w:tc>
        <w:tc>
          <w:tcPr>
            <w:tcW w:w="5386" w:type="dxa"/>
            <w:tcBorders>
              <w:top w:val="double" w:sz="6" w:space="0" w:color="auto"/>
              <w:left w:val="nil"/>
              <w:bottom w:val="single" w:sz="8" w:space="0" w:color="auto"/>
              <w:right w:val="double" w:sz="6" w:space="0" w:color="auto"/>
            </w:tcBorders>
            <w:shd w:val="clear" w:color="000000" w:fill="F2F2F2"/>
          </w:tcPr>
          <w:p w:rsidR="002B426F" w:rsidRPr="005D0AA7" w:rsidRDefault="002B426F" w:rsidP="00533A80">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Предложение на изпълнителя по рамковото споразумение</w:t>
            </w:r>
          </w:p>
        </w:tc>
      </w:tr>
      <w:tr w:rsidR="002B426F" w:rsidRPr="005D0AA7" w:rsidTr="002B426F">
        <w:trPr>
          <w:trHeight w:val="945"/>
        </w:trPr>
        <w:tc>
          <w:tcPr>
            <w:tcW w:w="1448" w:type="dxa"/>
            <w:vMerge w:val="restart"/>
            <w:tcBorders>
              <w:top w:val="nil"/>
              <w:left w:val="double" w:sz="6" w:space="0" w:color="auto"/>
              <w:bottom w:val="single" w:sz="4" w:space="0" w:color="auto"/>
              <w:right w:val="single" w:sz="4" w:space="0" w:color="auto"/>
            </w:tcBorders>
            <w:shd w:val="clear" w:color="auto" w:fill="auto"/>
            <w:vAlign w:val="center"/>
            <w:hideMark/>
          </w:tcPr>
          <w:p w:rsidR="002B426F" w:rsidRDefault="002B426F" w:rsidP="00533A80">
            <w:pPr>
              <w:spacing w:after="0" w:line="240" w:lineRule="auto"/>
              <w:rPr>
                <w:rFonts w:ascii="Times New Roman" w:eastAsia="Times New Roman" w:hAnsi="Times New Roman" w:cs="Times New Roman"/>
                <w:b/>
                <w:color w:val="000000"/>
                <w:sz w:val="24"/>
                <w:szCs w:val="24"/>
                <w:lang w:eastAsia="bg-BG"/>
              </w:rPr>
            </w:pPr>
            <w:r w:rsidRPr="00045E2D">
              <w:rPr>
                <w:rFonts w:ascii="Times New Roman" w:eastAsia="Times New Roman" w:hAnsi="Times New Roman" w:cs="Times New Roman"/>
                <w:b/>
                <w:color w:val="000000"/>
                <w:sz w:val="24"/>
                <w:szCs w:val="24"/>
                <w:lang w:eastAsia="bg-BG"/>
              </w:rPr>
              <w:t>[КПУ-1.1.]</w:t>
            </w:r>
          </w:p>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r w:rsidRPr="005D0AA7">
              <w:rPr>
                <w:rFonts w:ascii="Times New Roman" w:eastAsia="Times New Roman" w:hAnsi="Times New Roman" w:cs="Times New Roman"/>
                <w:b/>
                <w:color w:val="000000"/>
                <w:sz w:val="24"/>
                <w:szCs w:val="24"/>
                <w:lang w:eastAsia="bg-BG"/>
              </w:rPr>
              <w:t>Компютър I вид</w:t>
            </w: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Процесор</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Не по-малко от 6 физически ядра, с честота не по-малко от 3,0 GHz, не по-малко от 9 MB Cache или еквивалентен</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31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Охладител за процесор</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 xml:space="preserve">Изисква се </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630"/>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Оперативна памет</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2 x 4 GB DDR4, общо 8 GB RAM, 4 DIMM слота, от които 2 свободни</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31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Твърд диск</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1 TB SATA 6 Gbps, SSHD или еквивалент</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31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Оптично устройство</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DVD±RW; Double layer</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31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BIOS</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UEFI</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157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Видео карта</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Външна – монтирана на допълнителен слот, с драйвъри за Windows 10 (64bits), 2 GB RAM GDDR5, интерфейс на паметта 128 bit, интерфейси към монитора: HDMI, VGA (допуска се преходник), Display Port</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31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Мрежов интерфейс</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100/1000 Mbps, RJ-45</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94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Вградени портове</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4 x USB 2.0 или съвместими, 2 x USB 3.0 (от които по един на преден панел), 1 х Audio out, 1 х MIC</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31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Аудио</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Вграден говорител</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p>
        </w:tc>
      </w:tr>
      <w:tr w:rsidR="002B426F" w:rsidRPr="005D0AA7" w:rsidTr="002B426F">
        <w:trPr>
          <w:trHeight w:val="31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Разширителни слотове</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4E79F2">
              <w:rPr>
                <w:rFonts w:ascii="Times New Roman" w:hAnsi="Times New Roman" w:cs="Times New Roman"/>
                <w:sz w:val="24"/>
                <w:szCs w:val="24"/>
              </w:rPr>
              <w:t>1PCIe Gen3 x16 slot, 1 PCIe Ge</w:t>
            </w:r>
            <w:r>
              <w:rPr>
                <w:rFonts w:ascii="Times New Roman" w:hAnsi="Times New Roman" w:cs="Times New Roman"/>
                <w:sz w:val="24"/>
                <w:szCs w:val="24"/>
              </w:rPr>
              <w:t>n3 x4 slot, 1PCIe Gen3 x 1 slot</w:t>
            </w:r>
          </w:p>
        </w:tc>
        <w:tc>
          <w:tcPr>
            <w:tcW w:w="5386" w:type="dxa"/>
            <w:tcBorders>
              <w:top w:val="nil"/>
              <w:left w:val="nil"/>
              <w:bottom w:val="single" w:sz="4" w:space="0" w:color="auto"/>
              <w:right w:val="double" w:sz="6" w:space="0" w:color="auto"/>
            </w:tcBorders>
          </w:tcPr>
          <w:p w:rsidR="002B426F" w:rsidRPr="004E79F2" w:rsidRDefault="002B426F" w:rsidP="00533A80">
            <w:pPr>
              <w:spacing w:after="0" w:line="240" w:lineRule="auto"/>
              <w:jc w:val="both"/>
              <w:rPr>
                <w:rFonts w:ascii="Times New Roman" w:hAnsi="Times New Roman" w:cs="Times New Roman"/>
                <w:sz w:val="24"/>
                <w:szCs w:val="24"/>
              </w:rPr>
            </w:pPr>
          </w:p>
        </w:tc>
      </w:tr>
      <w:tr w:rsidR="002B426F" w:rsidRPr="005D0AA7" w:rsidTr="002B426F">
        <w:trPr>
          <w:trHeight w:val="630"/>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Кутия</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Desktop/Tower case, кутия с допълнителен/и вентилатори</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1260"/>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ATX захранване</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Минимум 4</w:t>
            </w:r>
            <w:r w:rsidRPr="005D0AA7">
              <w:rPr>
                <w:rFonts w:ascii="Times New Roman" w:eastAsia="Times New Roman" w:hAnsi="Times New Roman" w:cs="Times New Roman"/>
                <w:color w:val="000000"/>
                <w:sz w:val="24"/>
                <w:szCs w:val="24"/>
                <w:lang w:eastAsia="bg-BG"/>
              </w:rPr>
              <w:t>00 вата, осигуряващо безпроблемна работа при пълно натоварване на системата; вграден филтър срещу ел.-магнитни смущения</w:t>
            </w:r>
          </w:p>
        </w:tc>
        <w:tc>
          <w:tcPr>
            <w:tcW w:w="5386" w:type="dxa"/>
            <w:tcBorders>
              <w:top w:val="nil"/>
              <w:left w:val="nil"/>
              <w:bottom w:val="single" w:sz="4" w:space="0" w:color="auto"/>
              <w:right w:val="double" w:sz="6" w:space="0" w:color="auto"/>
            </w:tcBorders>
          </w:tcPr>
          <w:p w:rsidR="002B426F"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94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Съвместимост на предложения модел компютър</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Операционни системи: MS Windows 7 Pro/8/8.1/10 Pro (32/64bit) от Windows Certified Products List (WCPL)</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94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vMerge/>
            <w:tcBorders>
              <w:top w:val="nil"/>
              <w:left w:val="single" w:sz="4"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Софтуер: MS Office Professional 2013; MS Office Professional 2016, Adobe Acrobat Reader,  Abby Fine Reader, AutoCAD</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630"/>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Операционна система</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 xml:space="preserve">Инсталирана и активирана операционна система MS Windows 10 Pro (64bit) OEM </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94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Захранващ кабел</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Да бъде съвместим с контакт тип „Шуко“– CEE 7/3 и CEE 7/5 или еквивалентно, с дължина не по-малко от 1,5 метра</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315"/>
        </w:trPr>
        <w:tc>
          <w:tcPr>
            <w:tcW w:w="1448" w:type="dxa"/>
            <w:vMerge w:val="restart"/>
            <w:tcBorders>
              <w:top w:val="nil"/>
              <w:left w:val="double" w:sz="6" w:space="0" w:color="auto"/>
              <w:bottom w:val="single" w:sz="4" w:space="0" w:color="auto"/>
              <w:right w:val="single" w:sz="4" w:space="0" w:color="auto"/>
            </w:tcBorders>
            <w:shd w:val="clear" w:color="auto" w:fill="auto"/>
            <w:vAlign w:val="center"/>
            <w:hideMark/>
          </w:tcPr>
          <w:p w:rsidR="002B426F" w:rsidRDefault="002B426F" w:rsidP="00533A80">
            <w:pPr>
              <w:spacing w:after="0" w:line="240" w:lineRule="auto"/>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[КПУ-1.6</w:t>
            </w:r>
            <w:r w:rsidRPr="00045E2D">
              <w:rPr>
                <w:rFonts w:ascii="Times New Roman" w:eastAsia="Times New Roman" w:hAnsi="Times New Roman" w:cs="Times New Roman"/>
                <w:b/>
                <w:color w:val="000000"/>
                <w:sz w:val="24"/>
                <w:szCs w:val="24"/>
                <w:lang w:eastAsia="bg-BG"/>
              </w:rPr>
              <w:t>]</w:t>
            </w:r>
          </w:p>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r w:rsidRPr="005D0AA7">
              <w:rPr>
                <w:rFonts w:ascii="Times New Roman" w:eastAsia="Times New Roman" w:hAnsi="Times New Roman" w:cs="Times New Roman"/>
                <w:b/>
                <w:color w:val="000000"/>
                <w:sz w:val="24"/>
                <w:szCs w:val="24"/>
                <w:lang w:eastAsia="bg-BG"/>
              </w:rPr>
              <w:t>Монитор II вид</w:t>
            </w: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Тип на панела</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LED/LCD или еквивалентен</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31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Размер на дисплея</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Не по-малко от 24 инча</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31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Резолюция</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Не по-ниска от 1920 x 1080 (Full HD)</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31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Формат</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16:9 или 16:10</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31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Време за реакция</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Не повече от 5 ms</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31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Контраст статичен</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Не по-малко от 1000:1</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37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Яркост</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Не по-малко от 300 cd/m</w:t>
            </w:r>
            <w:r w:rsidRPr="005D0AA7">
              <w:rPr>
                <w:rFonts w:ascii="Times New Roman" w:eastAsia="Times New Roman" w:hAnsi="Times New Roman" w:cs="Times New Roman"/>
                <w:color w:val="000000"/>
                <w:sz w:val="24"/>
                <w:szCs w:val="24"/>
                <w:vertAlign w:val="superscript"/>
                <w:lang w:eastAsia="bg-BG"/>
              </w:rPr>
              <w:t>2</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31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Захранване</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С вградено захранване</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94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Интерфейси</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1 x HDMI, 1 x VGA и/или 1 х DVI/Display port, съвместими с предлаганите компютри</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94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Захранващ кабел</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Да бъде съвместим с контакт тип „Шуко“– CEE 7/3 и CEE 7/5 или еквивалентно, с дължина не по-малко от 1,5 метра</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94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Други</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 xml:space="preserve">Възможност за регулиране на монитора по височина и спрямо позицията на оператора; </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94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vMerge/>
            <w:tcBorders>
              <w:top w:val="nil"/>
              <w:left w:val="single" w:sz="4"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Да бъде окомплектован с всички необходими интерфейсни и захранващи кабели за нормална експлоатация</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31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Сертификати</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TCO или еквивалент</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945"/>
        </w:trPr>
        <w:tc>
          <w:tcPr>
            <w:tcW w:w="1448" w:type="dxa"/>
            <w:tcBorders>
              <w:top w:val="nil"/>
              <w:left w:val="double" w:sz="6" w:space="0" w:color="auto"/>
              <w:bottom w:val="single" w:sz="4" w:space="0" w:color="auto"/>
              <w:right w:val="single" w:sz="4" w:space="0" w:color="auto"/>
            </w:tcBorders>
            <w:shd w:val="clear" w:color="auto" w:fill="auto"/>
            <w:vAlign w:val="center"/>
            <w:hideMark/>
          </w:tcPr>
          <w:p w:rsidR="002B426F" w:rsidRDefault="002B426F" w:rsidP="00533A80">
            <w:pPr>
              <w:spacing w:after="0" w:line="240" w:lineRule="auto"/>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[КПУ-1.8</w:t>
            </w:r>
            <w:r w:rsidRPr="00045E2D">
              <w:rPr>
                <w:rFonts w:ascii="Times New Roman" w:eastAsia="Times New Roman" w:hAnsi="Times New Roman" w:cs="Times New Roman"/>
                <w:b/>
                <w:color w:val="000000"/>
                <w:sz w:val="24"/>
                <w:szCs w:val="24"/>
                <w:lang w:eastAsia="bg-BG"/>
              </w:rPr>
              <w:t>]</w:t>
            </w:r>
          </w:p>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r w:rsidRPr="005D0AA7">
              <w:rPr>
                <w:rFonts w:ascii="Times New Roman" w:eastAsia="Times New Roman" w:hAnsi="Times New Roman" w:cs="Times New Roman"/>
                <w:b/>
                <w:color w:val="000000"/>
                <w:sz w:val="24"/>
                <w:szCs w:val="24"/>
                <w:lang w:eastAsia="bg-BG"/>
              </w:rPr>
              <w:t>Клавиатура I вид</w:t>
            </w:r>
          </w:p>
        </w:tc>
        <w:tc>
          <w:tcPr>
            <w:tcW w:w="1843" w:type="dxa"/>
            <w:tcBorders>
              <w:top w:val="nil"/>
              <w:left w:val="nil"/>
              <w:bottom w:val="single" w:sz="4" w:space="0" w:color="auto"/>
              <w:right w:val="single" w:sz="4" w:space="0" w:color="auto"/>
            </w:tcBorders>
            <w:shd w:val="clear" w:color="auto" w:fill="auto"/>
            <w:vAlign w:val="bottom"/>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Начина на свързване към компютъра, тип надписване, други</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USB, гравирана/надписана с English (US) и кирилица по БДС</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960"/>
        </w:trPr>
        <w:tc>
          <w:tcPr>
            <w:tcW w:w="1448" w:type="dxa"/>
            <w:tcBorders>
              <w:top w:val="nil"/>
              <w:left w:val="double" w:sz="6" w:space="0" w:color="auto"/>
              <w:bottom w:val="double" w:sz="6" w:space="0" w:color="auto"/>
              <w:right w:val="single" w:sz="4" w:space="0" w:color="auto"/>
            </w:tcBorders>
            <w:shd w:val="clear" w:color="auto" w:fill="auto"/>
            <w:vAlign w:val="center"/>
            <w:hideMark/>
          </w:tcPr>
          <w:p w:rsidR="002B426F" w:rsidRDefault="002B426F" w:rsidP="00533A80">
            <w:pPr>
              <w:spacing w:after="0" w:line="240" w:lineRule="auto"/>
              <w:rPr>
                <w:rFonts w:ascii="Times New Roman" w:eastAsia="Times New Roman" w:hAnsi="Times New Roman" w:cs="Times New Roman"/>
                <w:b/>
                <w:color w:val="000000"/>
                <w:sz w:val="24"/>
                <w:szCs w:val="24"/>
                <w:lang w:eastAsia="bg-BG"/>
              </w:rPr>
            </w:pPr>
            <w:bookmarkStart w:id="1" w:name="_GoBack"/>
            <w:bookmarkEnd w:id="1"/>
            <w:r>
              <w:rPr>
                <w:rFonts w:ascii="Times New Roman" w:eastAsia="Times New Roman" w:hAnsi="Times New Roman" w:cs="Times New Roman"/>
                <w:b/>
                <w:color w:val="000000"/>
                <w:sz w:val="24"/>
                <w:szCs w:val="24"/>
                <w:lang w:eastAsia="bg-BG"/>
              </w:rPr>
              <w:t>[КПУ-1.10</w:t>
            </w:r>
            <w:r w:rsidRPr="00045E2D">
              <w:rPr>
                <w:rFonts w:ascii="Times New Roman" w:eastAsia="Times New Roman" w:hAnsi="Times New Roman" w:cs="Times New Roman"/>
                <w:b/>
                <w:color w:val="000000"/>
                <w:sz w:val="24"/>
                <w:szCs w:val="24"/>
                <w:lang w:eastAsia="bg-BG"/>
              </w:rPr>
              <w:t>]</w:t>
            </w:r>
          </w:p>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r w:rsidRPr="005D0AA7">
              <w:rPr>
                <w:rFonts w:ascii="Times New Roman" w:eastAsia="Times New Roman" w:hAnsi="Times New Roman" w:cs="Times New Roman"/>
                <w:b/>
                <w:color w:val="000000"/>
                <w:sz w:val="24"/>
                <w:szCs w:val="24"/>
                <w:lang w:eastAsia="bg-BG"/>
              </w:rPr>
              <w:t>Мишка</w:t>
            </w:r>
          </w:p>
        </w:tc>
        <w:tc>
          <w:tcPr>
            <w:tcW w:w="1843" w:type="dxa"/>
            <w:tcBorders>
              <w:top w:val="nil"/>
              <w:left w:val="nil"/>
              <w:bottom w:val="double" w:sz="6"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Начина на свързване към компютъра, тип, други</w:t>
            </w:r>
          </w:p>
        </w:tc>
        <w:tc>
          <w:tcPr>
            <w:tcW w:w="5782" w:type="dxa"/>
            <w:tcBorders>
              <w:top w:val="nil"/>
              <w:left w:val="nil"/>
              <w:bottom w:val="double" w:sz="6"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U</w:t>
            </w:r>
            <w:r>
              <w:rPr>
                <w:rFonts w:ascii="Times New Roman" w:eastAsia="Times New Roman" w:hAnsi="Times New Roman" w:cs="Times New Roman"/>
                <w:color w:val="000000"/>
                <w:sz w:val="24"/>
                <w:szCs w:val="24"/>
                <w:lang w:eastAsia="bg-BG"/>
              </w:rPr>
              <w:t>SB, двубутонна, скрол, оптична</w:t>
            </w:r>
          </w:p>
        </w:tc>
        <w:tc>
          <w:tcPr>
            <w:tcW w:w="5386" w:type="dxa"/>
            <w:tcBorders>
              <w:top w:val="nil"/>
              <w:left w:val="nil"/>
              <w:bottom w:val="double" w:sz="6"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bl>
    <w:p w:rsidR="002B426F" w:rsidRDefault="002B426F" w:rsidP="002B426F">
      <w:pPr>
        <w:tabs>
          <w:tab w:val="left" w:pos="315"/>
          <w:tab w:val="left" w:pos="3255"/>
        </w:tabs>
        <w:rPr>
          <w:rFonts w:ascii="Times New Roman" w:hAnsi="Times New Roman" w:cs="Times New Roman"/>
          <w:b/>
          <w:sz w:val="24"/>
          <w:szCs w:val="24"/>
        </w:rPr>
      </w:pPr>
      <w:r>
        <w:rPr>
          <w:rFonts w:ascii="Times New Roman" w:hAnsi="Times New Roman" w:cs="Times New Roman"/>
          <w:b/>
          <w:sz w:val="24"/>
          <w:szCs w:val="24"/>
        </w:rPr>
        <w:tab/>
      </w:r>
    </w:p>
    <w:p w:rsidR="002B426F" w:rsidRDefault="002B426F" w:rsidP="002B426F">
      <w:pPr>
        <w:tabs>
          <w:tab w:val="left" w:pos="3255"/>
        </w:tabs>
        <w:rPr>
          <w:rFonts w:ascii="Times New Roman" w:hAnsi="Times New Roman" w:cs="Times New Roman"/>
          <w:b/>
          <w:sz w:val="24"/>
          <w:szCs w:val="24"/>
        </w:rPr>
      </w:pPr>
    </w:p>
    <w:p w:rsidR="002B426F" w:rsidRDefault="002B426F" w:rsidP="002B426F">
      <w:pPr>
        <w:tabs>
          <w:tab w:val="left" w:pos="3255"/>
        </w:tabs>
        <w:rPr>
          <w:rFonts w:ascii="Times New Roman" w:hAnsi="Times New Roman" w:cs="Times New Roman"/>
          <w:b/>
          <w:sz w:val="24"/>
          <w:szCs w:val="24"/>
        </w:rPr>
      </w:pPr>
    </w:p>
    <w:p w:rsidR="007D742E" w:rsidRPr="005C1329" w:rsidRDefault="005C1329" w:rsidP="005C1329">
      <w:pPr>
        <w:tabs>
          <w:tab w:val="left" w:pos="3255"/>
        </w:tabs>
        <w:jc w:val="both"/>
        <w:rPr>
          <w:rFonts w:ascii="Times New Roman" w:hAnsi="Times New Roman" w:cs="Times New Roman"/>
          <w:i/>
          <w:sz w:val="24"/>
          <w:szCs w:val="24"/>
        </w:rPr>
      </w:pPr>
      <w:r w:rsidRPr="005C1329">
        <w:rPr>
          <w:rFonts w:ascii="Times New Roman" w:hAnsi="Times New Roman" w:cs="Times New Roman"/>
          <w:b/>
          <w:i/>
          <w:sz w:val="24"/>
          <w:szCs w:val="24"/>
        </w:rPr>
        <w:t>Забележка:</w:t>
      </w:r>
      <w:r w:rsidRPr="005C1329">
        <w:rPr>
          <w:rFonts w:ascii="Times New Roman" w:hAnsi="Times New Roman" w:cs="Times New Roman"/>
          <w:i/>
          <w:sz w:val="24"/>
          <w:szCs w:val="24"/>
        </w:rPr>
        <w:t xml:space="preserve"> Изпълнителите по рамковото споразумение следва да попълнят Образеца на техническо предложение с конкретните техническите параметри на техниката, която ще доставят. Техническите параметри на техниката следва да са същите или по-добри от тези, заложени в Техническата спецификация на ЦОП. Рамковите изпълнители нямат право да оставят празен ред при попълването на параметрите за съответната техника. Рамковите изпълнители нямат право да предлагат техника различна от търговската марка, която са декларирали в откритата централизирана процедура.</w:t>
      </w:r>
    </w:p>
    <w:p w:rsidR="007D742E" w:rsidRPr="005C1329" w:rsidRDefault="007D742E" w:rsidP="005C1329">
      <w:pPr>
        <w:jc w:val="both"/>
        <w:rPr>
          <w:i/>
        </w:rPr>
      </w:pPr>
    </w:p>
    <w:p w:rsidR="00DD6A54" w:rsidRDefault="00DD6A54" w:rsidP="005C1329">
      <w:pPr>
        <w:jc w:val="both"/>
      </w:pPr>
    </w:p>
    <w:sectPr w:rsidR="00DD6A54" w:rsidSect="006C3BC3">
      <w:headerReference w:type="default" r:id="rId6"/>
      <w:footerReference w:type="default" r:id="rId7"/>
      <w:pgSz w:w="16838" w:h="11906" w:orient="landscape"/>
      <w:pgMar w:top="1418" w:right="1417" w:bottom="1135"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91D" w:rsidRDefault="0049191D" w:rsidP="00B95A94">
      <w:pPr>
        <w:spacing w:after="0" w:line="240" w:lineRule="auto"/>
      </w:pPr>
      <w:r>
        <w:separator/>
      </w:r>
    </w:p>
  </w:endnote>
  <w:endnote w:type="continuationSeparator" w:id="0">
    <w:p w:rsidR="0049191D" w:rsidRDefault="0049191D" w:rsidP="00B95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1591363"/>
      <w:docPartObj>
        <w:docPartGallery w:val="Page Numbers (Bottom of Page)"/>
        <w:docPartUnique/>
      </w:docPartObj>
    </w:sdtPr>
    <w:sdtEndPr>
      <w:rPr>
        <w:rFonts w:ascii="Times New Roman" w:hAnsi="Times New Roman" w:cs="Times New Roman"/>
        <w:noProof/>
        <w:sz w:val="20"/>
        <w:szCs w:val="20"/>
      </w:rPr>
    </w:sdtEndPr>
    <w:sdtContent>
      <w:p w:rsidR="005D25FB" w:rsidRPr="006C3BC3" w:rsidRDefault="005D25FB">
        <w:pPr>
          <w:pStyle w:val="Footer"/>
          <w:jc w:val="right"/>
          <w:rPr>
            <w:rFonts w:ascii="Times New Roman" w:hAnsi="Times New Roman" w:cs="Times New Roman"/>
            <w:sz w:val="20"/>
            <w:szCs w:val="20"/>
          </w:rPr>
        </w:pPr>
        <w:r w:rsidRPr="006C3BC3">
          <w:rPr>
            <w:rFonts w:ascii="Times New Roman" w:hAnsi="Times New Roman" w:cs="Times New Roman"/>
            <w:sz w:val="20"/>
            <w:szCs w:val="20"/>
          </w:rPr>
          <w:fldChar w:fldCharType="begin"/>
        </w:r>
        <w:r w:rsidRPr="006C3BC3">
          <w:rPr>
            <w:rFonts w:ascii="Times New Roman" w:hAnsi="Times New Roman" w:cs="Times New Roman"/>
            <w:sz w:val="20"/>
            <w:szCs w:val="20"/>
          </w:rPr>
          <w:instrText xml:space="preserve"> PAGE   \* MERGEFORMAT </w:instrText>
        </w:r>
        <w:r w:rsidRPr="006C3BC3">
          <w:rPr>
            <w:rFonts w:ascii="Times New Roman" w:hAnsi="Times New Roman" w:cs="Times New Roman"/>
            <w:sz w:val="20"/>
            <w:szCs w:val="20"/>
          </w:rPr>
          <w:fldChar w:fldCharType="separate"/>
        </w:r>
        <w:r w:rsidR="00653E47">
          <w:rPr>
            <w:rFonts w:ascii="Times New Roman" w:hAnsi="Times New Roman" w:cs="Times New Roman"/>
            <w:noProof/>
            <w:sz w:val="20"/>
            <w:szCs w:val="20"/>
          </w:rPr>
          <w:t>5</w:t>
        </w:r>
        <w:r w:rsidRPr="006C3BC3">
          <w:rPr>
            <w:rFonts w:ascii="Times New Roman" w:hAnsi="Times New Roman" w:cs="Times New Roman"/>
            <w:noProof/>
            <w:sz w:val="20"/>
            <w:szCs w:val="20"/>
          </w:rPr>
          <w:fldChar w:fldCharType="end"/>
        </w:r>
      </w:p>
    </w:sdtContent>
  </w:sdt>
  <w:p w:rsidR="00EB4B4F" w:rsidRDefault="00EB4B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91D" w:rsidRDefault="0049191D" w:rsidP="00B95A94">
      <w:pPr>
        <w:spacing w:after="0" w:line="240" w:lineRule="auto"/>
      </w:pPr>
      <w:r>
        <w:separator/>
      </w:r>
    </w:p>
  </w:footnote>
  <w:footnote w:type="continuationSeparator" w:id="0">
    <w:p w:rsidR="0049191D" w:rsidRDefault="0049191D" w:rsidP="00B95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EA0" w:rsidRPr="00013EA0" w:rsidRDefault="00013EA0" w:rsidP="00013EA0">
    <w:pPr>
      <w:spacing w:after="0" w:line="240" w:lineRule="auto"/>
      <w:jc w:val="center"/>
      <w:rPr>
        <w:rFonts w:ascii="Times New Roman" w:eastAsia="Times New Roman" w:hAnsi="Times New Roman" w:cs="Times New Roman"/>
        <w:sz w:val="20"/>
        <w:szCs w:val="20"/>
      </w:rPr>
    </w:pPr>
    <w:r w:rsidRPr="008650DA">
      <w:rPr>
        <w:rFonts w:ascii="Times New Roman CYR" w:eastAsia="Times New Roman" w:hAnsi="Times New Roman CYR" w:cs="Times New Roman"/>
        <w:noProof/>
        <w:color w:val="000000"/>
        <w:sz w:val="20"/>
        <w:szCs w:val="24"/>
        <w:lang w:eastAsia="bg-BG"/>
      </w:rPr>
      <mc:AlternateContent>
        <mc:Choice Requires="wps">
          <w:drawing>
            <wp:anchor distT="0" distB="0" distL="114300" distR="114300" simplePos="0" relativeHeight="251658752" behindDoc="0" locked="0" layoutInCell="0" allowOverlap="1" wp14:anchorId="2D90614D" wp14:editId="16F1A071">
              <wp:simplePos x="0" y="0"/>
              <wp:positionH relativeFrom="column">
                <wp:posOffset>-4446</wp:posOffset>
              </wp:positionH>
              <wp:positionV relativeFrom="paragraph">
                <wp:posOffset>572770</wp:posOffset>
              </wp:positionV>
              <wp:extent cx="8867775" cy="9525"/>
              <wp:effectExtent l="0" t="0" r="28575" b="2857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67775" cy="9525"/>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4CDAE86" id="Line 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1pt" to="697.9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" o:allowincell="f" strokeweight=".15pt"/>
          </w:pict>
        </mc:Fallback>
      </mc:AlternateContent>
    </w:r>
    <w:r w:rsidRPr="008650DA">
      <w:rPr>
        <w:rFonts w:ascii="Times New Roman" w:eastAsia="Times New Roman" w:hAnsi="Times New Roman" w:cs="Times New Roman"/>
        <w:sz w:val="20"/>
        <w:szCs w:val="20"/>
      </w:rPr>
      <w:t>„Доставка на компютри и периферни устройства за нуждите на органите на изпълнителната власт и техните администрации“ с шест обособени позиции:</w:t>
    </w:r>
    <w:r w:rsidRPr="00013EA0">
      <w:rPr>
        <w:rFonts w:ascii="Times New Roman" w:eastAsia="Times New Roman" w:hAnsi="Times New Roman" w:cs="Times New Roman"/>
        <w:sz w:val="20"/>
        <w:szCs w:val="20"/>
      </w:rPr>
      <w:t xml:space="preserve"> Обособена позиция № 1 „Доставка на компютърни конфигурации“, Обособена позиция № 2 „Доставка на преносими компютри“, Обособена позиция № 3 „Доставка на мултифункционални устройства, принтери и скенери“, Обособена позиция № 4 „Доставка на мултимедийни проектори“, Обособена позиция № 5 „Доставка на непрекъсваеми токозахранващи устройства“, Обособена позиция № 6 „Доставка на таблети“</w:t>
    </w:r>
  </w:p>
  <w:p w:rsidR="00013EA0" w:rsidRPr="00013EA0" w:rsidRDefault="00013EA0" w:rsidP="00013EA0">
    <w:pPr>
      <w:spacing w:after="0" w:line="240" w:lineRule="auto"/>
      <w:jc w:val="center"/>
      <w:rPr>
        <w:rFonts w:ascii="Times New Roman" w:eastAsia="Times New Roman" w:hAnsi="Times New Roman" w:cs="Times New Roman"/>
        <w:sz w:val="20"/>
        <w:szCs w:val="20"/>
      </w:rPr>
    </w:pPr>
  </w:p>
  <w:p w:rsidR="00345C68" w:rsidRPr="0044221E" w:rsidRDefault="00EB4B4F" w:rsidP="0044221E">
    <w:pPr>
      <w:pStyle w:val="Header"/>
      <w:jc w:val="center"/>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rPr>
      <w:tab/>
      <w:t xml:space="preserve">                                                          </w:t>
    </w:r>
    <w:r w:rsidRPr="00EB4B4F">
      <w:rPr>
        <w:rFonts w:ascii="Times New Roman" w:hAnsi="Times New Roman" w:cs="Times New Roman"/>
        <w:i/>
        <w:iCs/>
      </w:rPr>
      <w:t>Образец 5.1</w:t>
    </w:r>
    <w:r>
      <w:rPr>
        <w:rFonts w:ascii="Times New Roman" w:hAnsi="Times New Roman" w:cs="Times New Roman"/>
        <w:i/>
        <w:iCs/>
        <w:lang w:val="en-US"/>
      </w:rPr>
      <w:t xml:space="preserve"> – </w:t>
    </w:r>
    <w:r w:rsidR="00345C68" w:rsidRPr="00B95A94">
      <w:rPr>
        <w:rFonts w:ascii="Times New Roman" w:hAnsi="Times New Roman" w:cs="Times New Roman"/>
        <w:i/>
        <w:iCs/>
      </w:rPr>
      <w:t xml:space="preserve">Образец </w:t>
    </w:r>
    <w:r w:rsidR="00345C68">
      <w:rPr>
        <w:rFonts w:ascii="Times New Roman" w:hAnsi="Times New Roman" w:cs="Times New Roman"/>
        <w:i/>
        <w:iCs/>
      </w:rPr>
      <w:t>на ТП в мини-процедура по РС за об.п. 1</w:t>
    </w:r>
  </w:p>
  <w:p w:rsidR="00345C68" w:rsidRDefault="00345C68" w:rsidP="00B95A94">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A94"/>
    <w:rsid w:val="00013EA0"/>
    <w:rsid w:val="001C678E"/>
    <w:rsid w:val="00221966"/>
    <w:rsid w:val="002867E3"/>
    <w:rsid w:val="002B426F"/>
    <w:rsid w:val="00345C68"/>
    <w:rsid w:val="0044221E"/>
    <w:rsid w:val="0049191D"/>
    <w:rsid w:val="005C1329"/>
    <w:rsid w:val="005D25FB"/>
    <w:rsid w:val="005E25D7"/>
    <w:rsid w:val="005F7271"/>
    <w:rsid w:val="00627216"/>
    <w:rsid w:val="00653E47"/>
    <w:rsid w:val="00654983"/>
    <w:rsid w:val="006835D1"/>
    <w:rsid w:val="006C3BC3"/>
    <w:rsid w:val="007773A5"/>
    <w:rsid w:val="007D742E"/>
    <w:rsid w:val="008172C9"/>
    <w:rsid w:val="008650DA"/>
    <w:rsid w:val="008B2EA6"/>
    <w:rsid w:val="00A634E4"/>
    <w:rsid w:val="00AE6B78"/>
    <w:rsid w:val="00B37802"/>
    <w:rsid w:val="00B95A94"/>
    <w:rsid w:val="00BB3204"/>
    <w:rsid w:val="00DD259F"/>
    <w:rsid w:val="00DD6A54"/>
    <w:rsid w:val="00DE3A1C"/>
    <w:rsid w:val="00DF5FCC"/>
    <w:rsid w:val="00EB4B4F"/>
    <w:rsid w:val="00F110BD"/>
    <w:rsid w:val="00F4685B"/>
    <w:rsid w:val="00F75FB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6AF1C5-3949-4D01-BDBE-93BF2425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5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5A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5A94"/>
  </w:style>
  <w:style w:type="paragraph" w:styleId="Footer">
    <w:name w:val="footer"/>
    <w:basedOn w:val="Normal"/>
    <w:link w:val="FooterChar"/>
    <w:uiPriority w:val="99"/>
    <w:unhideWhenUsed/>
    <w:rsid w:val="00B95A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5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194881">
      <w:bodyDiv w:val="1"/>
      <w:marLeft w:val="0"/>
      <w:marRight w:val="0"/>
      <w:marTop w:val="0"/>
      <w:marBottom w:val="0"/>
      <w:divBdr>
        <w:top w:val="none" w:sz="0" w:space="0" w:color="auto"/>
        <w:left w:val="none" w:sz="0" w:space="0" w:color="auto"/>
        <w:bottom w:val="none" w:sz="0" w:space="0" w:color="auto"/>
        <w:right w:val="none" w:sz="0" w:space="0" w:color="auto"/>
      </w:divBdr>
    </w:div>
    <w:div w:id="206624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Ministry Of Finance</Company>
  <LinksUpToDate>false</LinksUpToDate>
  <CharactersWithSpaces>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Съева-Стаменкова</dc:creator>
  <cp:keywords/>
  <dc:description/>
  <cp:lastModifiedBy>Hristina Gotzova</cp:lastModifiedBy>
  <cp:revision>2</cp:revision>
  <dcterms:created xsi:type="dcterms:W3CDTF">2020-09-14T09:27:00Z</dcterms:created>
  <dcterms:modified xsi:type="dcterms:W3CDTF">2020-09-14T09:27:00Z</dcterms:modified>
</cp:coreProperties>
</file>