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1C" w:rsidRPr="00356AF1" w:rsidRDefault="0048451C" w:rsidP="00B037BA">
      <w:pPr>
        <w:spacing w:after="0"/>
        <w:jc w:val="right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Приложение № 1</w:t>
      </w:r>
    </w:p>
    <w:p w:rsidR="0048451C" w:rsidRDefault="0048451C" w:rsidP="00B037BA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8451C" w:rsidRPr="00356AF1" w:rsidRDefault="0048451C" w:rsidP="00B037BA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56AF1">
        <w:rPr>
          <w:rFonts w:ascii="Times New Roman" w:hAnsi="Times New Roman"/>
          <w:b/>
          <w:sz w:val="24"/>
          <w:szCs w:val="24"/>
          <w:lang w:val="bg-BG"/>
        </w:rPr>
        <w:t>ТЕХНИЧЕСКИ ИЗИСКВАНИЯ</w:t>
      </w:r>
    </w:p>
    <w:p w:rsidR="0048451C" w:rsidRPr="00356AF1" w:rsidRDefault="0048451C" w:rsidP="00B037BA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56AF1">
        <w:rPr>
          <w:rFonts w:ascii="Times New Roman" w:hAnsi="Times New Roman"/>
          <w:b/>
          <w:sz w:val="24"/>
          <w:szCs w:val="24"/>
          <w:lang w:val="bg-BG"/>
        </w:rPr>
        <w:t>КЪМ</w:t>
      </w:r>
    </w:p>
    <w:p w:rsidR="0048451C" w:rsidRDefault="0048451C" w:rsidP="00B037BA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Поръчка с предмет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 xml:space="preserve"> “Проучване, проектиране, строителство и изграждане на оптична и радиорелейна свързаност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за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 xml:space="preserve"> 27 обекта на Изпълнителна Агенция „Автомобилна Администрация“ в страната”</w:t>
      </w:r>
    </w:p>
    <w:p w:rsidR="0048451C" w:rsidRPr="00356AF1" w:rsidRDefault="0048451C" w:rsidP="00B037BA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8451C" w:rsidRPr="00D64964" w:rsidRDefault="0048451C" w:rsidP="00B037B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4964">
        <w:rPr>
          <w:rFonts w:ascii="Times New Roman" w:hAnsi="Times New Roman"/>
          <w:b/>
          <w:sz w:val="24"/>
          <w:szCs w:val="24"/>
        </w:rPr>
        <w:t>Предме</w:t>
      </w:r>
      <w:r>
        <w:rPr>
          <w:rFonts w:ascii="Times New Roman" w:hAnsi="Times New Roman"/>
          <w:b/>
          <w:sz w:val="24"/>
          <w:szCs w:val="24"/>
        </w:rPr>
        <w:t>т и цел на обществената поръчка</w:t>
      </w:r>
      <w:r w:rsidRPr="00D64964">
        <w:rPr>
          <w:rFonts w:ascii="Times New Roman" w:hAnsi="Times New Roman"/>
          <w:b/>
          <w:sz w:val="24"/>
          <w:szCs w:val="24"/>
        </w:rPr>
        <w:t xml:space="preserve"> </w:t>
      </w:r>
    </w:p>
    <w:p w:rsidR="0048451C" w:rsidRDefault="0048451C" w:rsidP="00B037BA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D03A31">
        <w:rPr>
          <w:rFonts w:ascii="Times New Roman" w:hAnsi="Times New Roman"/>
          <w:sz w:val="24"/>
          <w:szCs w:val="24"/>
          <w:lang w:val="bg-BG"/>
        </w:rPr>
        <w:t>Проучване, проектиране, строителство и изграждане на оптична и радиорелейна комуник</w:t>
      </w:r>
      <w:r>
        <w:rPr>
          <w:rFonts w:ascii="Times New Roman" w:hAnsi="Times New Roman"/>
          <w:sz w:val="24"/>
          <w:szCs w:val="24"/>
          <w:lang w:val="bg-BG"/>
        </w:rPr>
        <w:t>ационна свързаност за имотите, ползвани от</w:t>
      </w:r>
      <w:r w:rsidRPr="00D03A31">
        <w:rPr>
          <w:rFonts w:ascii="Times New Roman" w:hAnsi="Times New Roman"/>
          <w:sz w:val="24"/>
          <w:szCs w:val="24"/>
          <w:lang w:val="bg-BG"/>
        </w:rPr>
        <w:t xml:space="preserve"> Изпълнителна Агенция „Автомобилна Администрация” в страната. </w:t>
      </w:r>
    </w:p>
    <w:p w:rsidR="0048451C" w:rsidRDefault="0048451C" w:rsidP="00B037BA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осъществяване на дейността си</w:t>
      </w:r>
      <w:r w:rsidRPr="00D03A31">
        <w:rPr>
          <w:rFonts w:ascii="Times New Roman" w:hAnsi="Times New Roman"/>
          <w:sz w:val="24"/>
          <w:szCs w:val="24"/>
          <w:lang w:val="bg-BG"/>
        </w:rPr>
        <w:t xml:space="preserve"> Изпълнителна Агенци</w:t>
      </w:r>
      <w:r>
        <w:rPr>
          <w:rFonts w:ascii="Times New Roman" w:hAnsi="Times New Roman"/>
          <w:sz w:val="24"/>
          <w:szCs w:val="24"/>
          <w:lang w:val="bg-BG"/>
        </w:rPr>
        <w:t xml:space="preserve">я „Автомобилна администрация“ </w:t>
      </w:r>
      <w:r w:rsidRPr="00D03A31">
        <w:rPr>
          <w:rFonts w:ascii="Times New Roman" w:hAnsi="Times New Roman"/>
          <w:sz w:val="24"/>
          <w:szCs w:val="24"/>
          <w:lang w:val="bg-BG"/>
        </w:rPr>
        <w:t xml:space="preserve">ползва 27 </w:t>
      </w:r>
      <w:r>
        <w:rPr>
          <w:rFonts w:ascii="Times New Roman" w:hAnsi="Times New Roman"/>
          <w:sz w:val="24"/>
          <w:szCs w:val="24"/>
          <w:lang w:val="bg-BG"/>
        </w:rPr>
        <w:t>имота,</w:t>
      </w:r>
      <w:r w:rsidRPr="003E008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предоставените й с акт за държавна собственост, находящи се в</w:t>
      </w:r>
      <w:r w:rsidRPr="00D03A31">
        <w:rPr>
          <w:rFonts w:ascii="Times New Roman" w:hAnsi="Times New Roman"/>
          <w:sz w:val="24"/>
          <w:szCs w:val="24"/>
          <w:lang w:val="bg-BG"/>
        </w:rPr>
        <w:t xml:space="preserve"> областните</w:t>
      </w:r>
      <w:r>
        <w:rPr>
          <w:rFonts w:ascii="Times New Roman" w:hAnsi="Times New Roman"/>
          <w:sz w:val="24"/>
          <w:szCs w:val="24"/>
          <w:lang w:val="bg-BG"/>
        </w:rPr>
        <w:t xml:space="preserve"> градове. </w:t>
      </w:r>
    </w:p>
    <w:p w:rsidR="0048451C" w:rsidRDefault="0048451C" w:rsidP="00B037BA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 отношение на шест от ползваните от Изпълнителна агенция „Автомобилна администрация” имоти, а именно: във гр. Видин, Ловеч, Перник, Плевен, Русе и Стара Загора следва да се изгради единствено радиорелейна свързаност. Цялото активно оборудване за изграждане на свързаността, без радиорелейният предавател е за сметка на изпълнителя на поръчката.</w:t>
      </w:r>
    </w:p>
    <w:p w:rsidR="0048451C" w:rsidRPr="00356AF1" w:rsidRDefault="0048451C" w:rsidP="00B037BA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451C" w:rsidRPr="00D64964" w:rsidRDefault="0048451C" w:rsidP="00B037B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4964">
        <w:rPr>
          <w:rFonts w:ascii="Times New Roman" w:hAnsi="Times New Roman"/>
          <w:b/>
          <w:sz w:val="24"/>
          <w:szCs w:val="24"/>
        </w:rPr>
        <w:t>Срок за изпълнение</w:t>
      </w:r>
    </w:p>
    <w:p w:rsidR="0048451C" w:rsidRDefault="0048451C" w:rsidP="00B037BA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 xml:space="preserve">Срокът за изпълнение на дейностите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  <w:lang w:val="bg-BG"/>
        </w:rPr>
        <w:t>до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9 (девет) месеца </w:t>
      </w:r>
      <w:r>
        <w:rPr>
          <w:rFonts w:ascii="Times New Roman" w:hAnsi="Times New Roman"/>
          <w:sz w:val="24"/>
          <w:szCs w:val="24"/>
          <w:lang w:val="bg-BG"/>
        </w:rPr>
        <w:t>считано от датата на подписване на договора.</w:t>
      </w:r>
    </w:p>
    <w:p w:rsidR="0048451C" w:rsidRPr="00356AF1" w:rsidRDefault="0048451C" w:rsidP="00B037BA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451C" w:rsidRPr="00356AF1" w:rsidRDefault="0048451C" w:rsidP="00B037BA">
      <w:pPr>
        <w:pStyle w:val="ListParagraph"/>
        <w:numPr>
          <w:ilvl w:val="0"/>
          <w:numId w:val="3"/>
        </w:numPr>
        <w:spacing w:after="0"/>
        <w:ind w:right="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6AF1">
        <w:rPr>
          <w:rFonts w:ascii="Times New Roman" w:hAnsi="Times New Roman"/>
          <w:b/>
          <w:sz w:val="24"/>
          <w:szCs w:val="24"/>
        </w:rPr>
        <w:t>Етапи на изпълнение на обхвата от дейности.</w:t>
      </w:r>
    </w:p>
    <w:p w:rsidR="0048451C" w:rsidRPr="00356AF1" w:rsidRDefault="0048451C" w:rsidP="00B037BA">
      <w:pPr>
        <w:pStyle w:val="ListParagraph"/>
        <w:tabs>
          <w:tab w:val="left" w:pos="374"/>
        </w:tabs>
        <w:spacing w:after="0" w:line="240" w:lineRule="auto"/>
        <w:ind w:left="0" w:right="79"/>
        <w:rPr>
          <w:rFonts w:ascii="Times New Roman" w:hAnsi="Times New Roman"/>
          <w:b/>
          <w:sz w:val="24"/>
          <w:szCs w:val="24"/>
        </w:rPr>
      </w:pPr>
    </w:p>
    <w:p w:rsidR="0048451C" w:rsidRPr="002B7E2B" w:rsidRDefault="0048451C" w:rsidP="00C85328">
      <w:pPr>
        <w:pStyle w:val="ListParagraph"/>
        <w:numPr>
          <w:ilvl w:val="1"/>
          <w:numId w:val="20"/>
        </w:num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b/>
          <w:sz w:val="24"/>
          <w:szCs w:val="24"/>
        </w:rPr>
      </w:pPr>
      <w:r w:rsidRPr="002B7E2B">
        <w:rPr>
          <w:rFonts w:ascii="Times New Roman" w:hAnsi="Times New Roman"/>
          <w:b/>
          <w:sz w:val="24"/>
          <w:szCs w:val="24"/>
        </w:rPr>
        <w:t xml:space="preserve"> Предварително проучване на обектите</w:t>
      </w:r>
    </w:p>
    <w:p w:rsidR="0048451C" w:rsidRPr="00356AF1" w:rsidRDefault="0048451C" w:rsidP="00B037BA">
      <w:pPr>
        <w:tabs>
          <w:tab w:val="left" w:pos="374"/>
        </w:tabs>
        <w:spacing w:after="0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ab/>
        <w:t>По време на предварителното проучване, Изпълнителят следва да изготви топология на мрежата. На базата на резултатите от предварителните проучвания, техническите изисквания за проектиране и използваните материали, следва да се изготвят предварителни идейни проекти на оптичните линии, включващи графични и монтажни схеми на оптичните линии в сградите. Където не е приложимо изграждането на оптични линии, но при не повече от 20% от</w:t>
      </w:r>
      <w:r>
        <w:rPr>
          <w:rFonts w:ascii="Times New Roman" w:hAnsi="Times New Roman"/>
          <w:sz w:val="24"/>
          <w:szCs w:val="24"/>
          <w:lang w:val="bg-BG"/>
        </w:rPr>
        <w:t xml:space="preserve"> предоставените за стопанисване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обектите, се изготвят идейни проекти за изграждане на радиорелейна свързаност.</w:t>
      </w:r>
    </w:p>
    <w:p w:rsidR="0048451C" w:rsidRPr="000B10F1" w:rsidRDefault="0048451C" w:rsidP="00C85328">
      <w:pPr>
        <w:pStyle w:val="ListParagraph"/>
        <w:numPr>
          <w:ilvl w:val="1"/>
          <w:numId w:val="20"/>
        </w:num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b/>
          <w:sz w:val="24"/>
          <w:szCs w:val="24"/>
        </w:rPr>
      </w:pPr>
      <w:r w:rsidRPr="000B10F1">
        <w:rPr>
          <w:rFonts w:ascii="Times New Roman" w:hAnsi="Times New Roman"/>
          <w:b/>
          <w:sz w:val="24"/>
          <w:szCs w:val="24"/>
        </w:rPr>
        <w:t>Проектиране и съгласуване на проектната документация</w:t>
      </w:r>
    </w:p>
    <w:p w:rsidR="0048451C" w:rsidRDefault="0048451C" w:rsidP="00B037BA">
      <w:pPr>
        <w:tabs>
          <w:tab w:val="left" w:pos="374"/>
        </w:tabs>
        <w:spacing w:after="0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ab/>
        <w:t xml:space="preserve">Дейностите включват изготвяне на работен проект по части, описани в т. 8.3. от настоящата документация. </w:t>
      </w:r>
    </w:p>
    <w:p w:rsidR="0048451C" w:rsidRDefault="0048451C" w:rsidP="00B037BA">
      <w:pPr>
        <w:tabs>
          <w:tab w:val="left" w:pos="374"/>
        </w:tabs>
        <w:spacing w:after="0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Изпълнителят е длъжен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да представи пълен комплект проектна документация, в която са заложени всички технически изисквания към материалите, количествени сметки с видове строително монтажни работи, работни чертежи и монтажни схеми за одобрение от </w:t>
      </w:r>
      <w:r>
        <w:rPr>
          <w:rFonts w:ascii="Times New Roman" w:hAnsi="Times New Roman"/>
          <w:sz w:val="24"/>
          <w:szCs w:val="24"/>
          <w:lang w:val="bg-BG"/>
        </w:rPr>
        <w:t>Възложител</w:t>
      </w:r>
      <w:r w:rsidRPr="00356AF1">
        <w:rPr>
          <w:rFonts w:ascii="Times New Roman" w:hAnsi="Times New Roman"/>
          <w:sz w:val="24"/>
          <w:szCs w:val="24"/>
          <w:lang w:val="bg-BG"/>
        </w:rPr>
        <w:t>я.</w:t>
      </w:r>
    </w:p>
    <w:p w:rsidR="0048451C" w:rsidRPr="00356AF1" w:rsidRDefault="0048451C" w:rsidP="00B037BA">
      <w:pPr>
        <w:tabs>
          <w:tab w:val="left" w:pos="374"/>
        </w:tabs>
        <w:spacing w:after="0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Проектната документация се одобрява от Възложителя.</w:t>
      </w:r>
    </w:p>
    <w:p w:rsidR="0048451C" w:rsidRPr="000B10F1" w:rsidRDefault="0048451C" w:rsidP="00C85328">
      <w:pPr>
        <w:pStyle w:val="ListParagraph"/>
        <w:numPr>
          <w:ilvl w:val="1"/>
          <w:numId w:val="20"/>
        </w:num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b/>
          <w:sz w:val="24"/>
          <w:szCs w:val="24"/>
        </w:rPr>
      </w:pPr>
      <w:r w:rsidRPr="000B10F1">
        <w:rPr>
          <w:rFonts w:ascii="Times New Roman" w:hAnsi="Times New Roman"/>
          <w:b/>
          <w:sz w:val="24"/>
          <w:szCs w:val="24"/>
        </w:rPr>
        <w:t>Изграждане</w:t>
      </w:r>
    </w:p>
    <w:p w:rsidR="0048451C" w:rsidRDefault="0048451C" w:rsidP="00B037BA">
      <w:p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Изпълнителят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се задължава за сметка</w:t>
      </w:r>
      <w:r>
        <w:rPr>
          <w:rFonts w:ascii="Times New Roman" w:hAnsi="Times New Roman"/>
          <w:sz w:val="24"/>
          <w:szCs w:val="24"/>
          <w:lang w:val="bg-BG"/>
        </w:rPr>
        <w:t xml:space="preserve"> на Възложителя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да извърши всички дейности предвидени в ЗУТ /Закон за устройство на територията/ с цел осигуряване на ПУП и право на преминаване през </w:t>
      </w:r>
      <w:r>
        <w:rPr>
          <w:rFonts w:ascii="Times New Roman" w:hAnsi="Times New Roman"/>
          <w:sz w:val="24"/>
          <w:szCs w:val="24"/>
          <w:lang w:val="bg-BG"/>
        </w:rPr>
        <w:t xml:space="preserve">засегнатите имоти, в т.ч. </w:t>
      </w:r>
      <w:r w:rsidRPr="00356AF1">
        <w:rPr>
          <w:rFonts w:ascii="Times New Roman" w:hAnsi="Times New Roman"/>
          <w:sz w:val="24"/>
          <w:szCs w:val="24"/>
          <w:lang w:val="bg-BG"/>
        </w:rPr>
        <w:t>изготвяне на задание за направа на ПУП /подробен устройствен план/</w:t>
      </w:r>
      <w:r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356AF1">
        <w:rPr>
          <w:rFonts w:ascii="Times New Roman" w:hAnsi="Times New Roman"/>
          <w:sz w:val="24"/>
          <w:szCs w:val="24"/>
          <w:lang w:val="bg-BG"/>
        </w:rPr>
        <w:t>получаване на допуск за изготвяне на ПУП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48451C" w:rsidRPr="00356AF1" w:rsidRDefault="0048451C" w:rsidP="00B037BA">
      <w:p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провеждане на необходимите преговори и процедури за сключване на договори с различните държавни, общински и частни собственици на имоти, през които ще преминават трасетата на оптичната мрежа</w:t>
      </w:r>
      <w:r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356AF1">
        <w:rPr>
          <w:rFonts w:ascii="Times New Roman" w:hAnsi="Times New Roman"/>
          <w:sz w:val="24"/>
          <w:szCs w:val="24"/>
          <w:lang w:val="bg-BG"/>
        </w:rPr>
        <w:t>изготвяне на ПУП</w:t>
      </w:r>
      <w:r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356AF1">
        <w:rPr>
          <w:rFonts w:ascii="Times New Roman" w:hAnsi="Times New Roman"/>
          <w:sz w:val="24"/>
          <w:szCs w:val="24"/>
          <w:lang w:val="bg-BG"/>
        </w:rPr>
        <w:t>съгласуване на изготвения ПУП със съответните инстанции</w:t>
      </w:r>
      <w:r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356AF1">
        <w:rPr>
          <w:rFonts w:ascii="Times New Roman" w:hAnsi="Times New Roman"/>
          <w:sz w:val="24"/>
          <w:szCs w:val="24"/>
          <w:lang w:val="bg-BG"/>
        </w:rPr>
        <w:t>внасяне на ПУП за одобрение</w:t>
      </w:r>
      <w:r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356AF1">
        <w:rPr>
          <w:rFonts w:ascii="Times New Roman" w:hAnsi="Times New Roman"/>
          <w:sz w:val="24"/>
          <w:szCs w:val="24"/>
          <w:lang w:val="bg-BG"/>
        </w:rPr>
        <w:t>получаване на одобрен ПУП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48451C" w:rsidRPr="00356AF1" w:rsidRDefault="0048451C" w:rsidP="00B037BA">
      <w:p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Всички такси, обезщетения и разходи за осигуряване на ПУП и придобиване на сервитутни права са за сметка на </w:t>
      </w:r>
      <w:r>
        <w:rPr>
          <w:rFonts w:ascii="Times New Roman" w:hAnsi="Times New Roman"/>
          <w:sz w:val="24"/>
          <w:szCs w:val="24"/>
          <w:lang w:val="bg-BG"/>
        </w:rPr>
        <w:t>Възложител</w:t>
      </w:r>
      <w:r w:rsidRPr="00356AF1">
        <w:rPr>
          <w:rFonts w:ascii="Times New Roman" w:hAnsi="Times New Roman"/>
          <w:sz w:val="24"/>
          <w:szCs w:val="24"/>
          <w:lang w:val="bg-BG"/>
        </w:rPr>
        <w:t>я.</w:t>
      </w:r>
    </w:p>
    <w:p w:rsidR="0048451C" w:rsidRPr="00356AF1" w:rsidRDefault="0048451C" w:rsidP="00B037BA">
      <w:p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Изпълнителят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се задължава за сметка</w:t>
      </w:r>
      <w:r>
        <w:rPr>
          <w:rFonts w:ascii="Times New Roman" w:hAnsi="Times New Roman"/>
          <w:sz w:val="24"/>
          <w:szCs w:val="24"/>
          <w:lang w:val="bg-BG"/>
        </w:rPr>
        <w:t xml:space="preserve"> на Възложителя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да предприеме всички необходими мерки за уведомяване на компетентните органи с цел получаване на съответните документи, свързани с оценка на въздействието върху околната среда.</w:t>
      </w:r>
    </w:p>
    <w:p w:rsidR="0048451C" w:rsidRPr="00356AF1" w:rsidRDefault="0048451C" w:rsidP="00B037BA">
      <w:p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sz w:val="24"/>
          <w:szCs w:val="24"/>
          <w:lang w:val="bg-BG"/>
        </w:rPr>
        <w:t>Изпълнителят се задължава за сметка на Възложителя да подава необходимите документи за лицензиране на РРЛ до КРС.</w:t>
      </w:r>
    </w:p>
    <w:p w:rsidR="0048451C" w:rsidRDefault="0048451C" w:rsidP="00B037BA">
      <w:p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Изпълнителят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се задължава за сметка</w:t>
      </w:r>
      <w:r>
        <w:rPr>
          <w:rFonts w:ascii="Times New Roman" w:hAnsi="Times New Roman"/>
          <w:sz w:val="24"/>
          <w:szCs w:val="24"/>
          <w:lang w:val="bg-BG"/>
        </w:rPr>
        <w:t xml:space="preserve"> на Възложителя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да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предприема действия по осигуряване на разрешение за строителство за и</w:t>
      </w:r>
      <w:r>
        <w:rPr>
          <w:rFonts w:ascii="Times New Roman" w:hAnsi="Times New Roman"/>
          <w:sz w:val="24"/>
          <w:szCs w:val="24"/>
          <w:lang w:val="bg-BG"/>
        </w:rPr>
        <w:t>зграждането на оптичните линии.</w:t>
      </w:r>
    </w:p>
    <w:p w:rsidR="0048451C" w:rsidRDefault="0048451C" w:rsidP="00B037BA">
      <w:p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Изпълнителят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се задължава </w:t>
      </w:r>
      <w:r>
        <w:rPr>
          <w:rFonts w:ascii="Times New Roman" w:hAnsi="Times New Roman"/>
          <w:sz w:val="24"/>
          <w:szCs w:val="24"/>
          <w:lang w:val="bg-BG"/>
        </w:rPr>
        <w:t>да извърши подбор и съгласува с Възложителя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изборът на изпълнител, на кой</w:t>
      </w:r>
      <w:r w:rsidRPr="00356AF1">
        <w:rPr>
          <w:rFonts w:ascii="Times New Roman" w:hAnsi="Times New Roman"/>
          <w:sz w:val="24"/>
          <w:szCs w:val="24"/>
          <w:lang w:val="bg-BG"/>
        </w:rPr>
        <w:t>то да бъдат възложени дейностите по геодезия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8451C" w:rsidRDefault="0048451C" w:rsidP="00B037BA">
      <w:p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sz w:val="24"/>
          <w:szCs w:val="24"/>
          <w:lang w:val="bg-BG"/>
        </w:rPr>
        <w:t>Изборът на строителен надзор ще се извърши от Възложителя.</w:t>
      </w:r>
    </w:p>
    <w:p w:rsidR="0048451C" w:rsidRDefault="0048451C" w:rsidP="00B037BA">
      <w:p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П</w:t>
      </w:r>
      <w:r w:rsidRPr="00356AF1">
        <w:rPr>
          <w:rFonts w:ascii="Times New Roman" w:hAnsi="Times New Roman"/>
          <w:sz w:val="24"/>
          <w:szCs w:val="24"/>
          <w:lang w:val="bg-BG"/>
        </w:rPr>
        <w:t>редвидени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одобрената от Възложителя и компетентните органи проектна документация строително-монтажни дейности следва да се изпълнят качаствено и по начин, отговарящ на най-добрите практики за такъв или подобен род дейности.</w:t>
      </w:r>
    </w:p>
    <w:p w:rsidR="0048451C" w:rsidRPr="00356AF1" w:rsidRDefault="0048451C" w:rsidP="00B037BA">
      <w:pPr>
        <w:tabs>
          <w:tab w:val="left" w:pos="374"/>
        </w:tabs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Приемането на изпълнени дейности се извършва съгласно ЗУТ</w:t>
      </w:r>
      <w:r w:rsidRPr="00356AF1">
        <w:rPr>
          <w:rFonts w:ascii="Times New Roman" w:hAnsi="Times New Roman"/>
          <w:sz w:val="24"/>
          <w:szCs w:val="24"/>
          <w:lang w:val="bg-BG"/>
        </w:rPr>
        <w:t>.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451C" w:rsidRPr="00356AF1" w:rsidRDefault="0048451C" w:rsidP="00C8532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У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словия и изисквания към средствата, използвани при изграждане на комуникационната инфраструктура.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ab/>
        <w:t xml:space="preserve">- Доставката на материалите да се направи след одобрение на проекта от </w:t>
      </w:r>
      <w:r>
        <w:rPr>
          <w:rFonts w:ascii="Times New Roman" w:hAnsi="Times New Roman"/>
          <w:sz w:val="24"/>
          <w:szCs w:val="24"/>
          <w:lang w:val="bg-BG"/>
        </w:rPr>
        <w:t>Възложител</w:t>
      </w:r>
      <w:r w:rsidRPr="00356AF1">
        <w:rPr>
          <w:rFonts w:ascii="Times New Roman" w:hAnsi="Times New Roman"/>
          <w:sz w:val="24"/>
          <w:szCs w:val="24"/>
          <w:lang w:val="bg-BG"/>
        </w:rPr>
        <w:t>я, съгласно заложените количества.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ab/>
        <w:t>- Всички материали, които ще бъдат доставяни трябва да са придружени със съответните сертификати за произход и качество, инструкция за употреба и декларация, удостоверяваща съответствието на всеки един от вложените продукти, съгласно изискванията на Закона за техническите изисквания към продуктите и подзаконовите нормативни актове към него.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ab/>
        <w:t>- Доставените материали и да отговарят на техническите характеристики, конкретизирани в настоящия документ, да са нови и неупотребявани, произведени от фирми, работещи по стандарт за качеството ISO 9001 (или еквивалент), и предприятия, сертифицирани за съответната дейнос</w:t>
      </w:r>
      <w:r>
        <w:rPr>
          <w:rFonts w:ascii="Times New Roman" w:hAnsi="Times New Roman"/>
          <w:sz w:val="24"/>
          <w:szCs w:val="24"/>
          <w:lang w:val="bg-BG"/>
        </w:rPr>
        <w:t>т по ISO 9001 (или еквивалент).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ab/>
        <w:t>- Минималните параметри и технически изисквания към основните материали /HDPE тръби, оптични кабели, съединителни и разклонителни оптични муфи и др./ са описани в настоящата спецификация:</w:t>
      </w:r>
    </w:p>
    <w:p w:rsidR="0048451C" w:rsidRPr="00B037BA" w:rsidRDefault="0048451C" w:rsidP="000C79C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ab/>
        <w:t>Технически изисквания към HDPE тръби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.1.1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Общи изисквания: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НDPE тръби по DIN 8074/75;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.1.2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Материал: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Полиетилен РЕ 80 - 6,4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.1.3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Външен диаметър: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Ф40;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.1.4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Оребряване: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Pr="00356AF1">
        <w:rPr>
          <w:rFonts w:ascii="Times New Roman" w:hAnsi="Times New Roman"/>
          <w:sz w:val="24"/>
          <w:szCs w:val="24"/>
          <w:lang w:val="bg-BG"/>
        </w:rPr>
        <w:t>ладка външна повърхност;</w:t>
      </w:r>
      <w:r>
        <w:rPr>
          <w:rFonts w:ascii="Times New Roman" w:hAnsi="Times New Roman"/>
          <w:sz w:val="24"/>
          <w:szCs w:val="24"/>
          <w:lang w:val="bg-BG"/>
        </w:rPr>
        <w:t xml:space="preserve"> н</w:t>
      </w:r>
      <w:r w:rsidRPr="00356AF1">
        <w:rPr>
          <w:rFonts w:ascii="Times New Roman" w:hAnsi="Times New Roman"/>
          <w:sz w:val="24"/>
          <w:szCs w:val="24"/>
          <w:lang w:val="bg-BG"/>
        </w:rPr>
        <w:t>адлъж</w:t>
      </w:r>
      <w:r>
        <w:rPr>
          <w:rFonts w:ascii="Times New Roman" w:hAnsi="Times New Roman"/>
          <w:sz w:val="24"/>
          <w:szCs w:val="24"/>
          <w:lang w:val="bg-BG"/>
        </w:rPr>
        <w:t>но оребрена вътрешна повърхност (д</w:t>
      </w:r>
      <w:r w:rsidRPr="00356AF1">
        <w:rPr>
          <w:rFonts w:ascii="Times New Roman" w:hAnsi="Times New Roman"/>
          <w:sz w:val="24"/>
          <w:szCs w:val="24"/>
          <w:lang w:val="bg-BG"/>
        </w:rPr>
        <w:t>опуска се оребряванет</w:t>
      </w:r>
      <w:r>
        <w:rPr>
          <w:rFonts w:ascii="Times New Roman" w:hAnsi="Times New Roman"/>
          <w:sz w:val="24"/>
          <w:szCs w:val="24"/>
          <w:lang w:val="bg-BG"/>
        </w:rPr>
        <w:t>о да е във вид на винтова линия).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.1.5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Маркировка:</w:t>
      </w:r>
      <w:r>
        <w:rPr>
          <w:rFonts w:ascii="Times New Roman" w:hAnsi="Times New Roman"/>
          <w:sz w:val="24"/>
          <w:szCs w:val="24"/>
          <w:lang w:val="bg-BG"/>
        </w:rPr>
        <w:t xml:space="preserve"> М</w:t>
      </w:r>
      <w:r w:rsidRPr="00356AF1">
        <w:rPr>
          <w:rFonts w:ascii="Times New Roman" w:hAnsi="Times New Roman"/>
          <w:sz w:val="24"/>
          <w:szCs w:val="24"/>
          <w:lang w:val="bg-BG"/>
        </w:rPr>
        <w:t>аркировката трябва да бъде нанесена по външната</w:t>
      </w:r>
      <w:r>
        <w:rPr>
          <w:rFonts w:ascii="Times New Roman" w:hAnsi="Times New Roman"/>
          <w:sz w:val="24"/>
          <w:szCs w:val="24"/>
          <w:lang w:val="bg-BG"/>
        </w:rPr>
        <w:t xml:space="preserve"> част на тръбите ясно и четливо. Т</w:t>
      </w:r>
      <w:r w:rsidRPr="00356AF1">
        <w:rPr>
          <w:rFonts w:ascii="Times New Roman" w:hAnsi="Times New Roman"/>
          <w:sz w:val="24"/>
          <w:szCs w:val="24"/>
          <w:lang w:val="bg-BG"/>
        </w:rPr>
        <w:t>райността на маркировката трябва да съответства на живота на тръбата;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.1.6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Температура на полагане:</w:t>
      </w:r>
      <w:r>
        <w:rPr>
          <w:rFonts w:ascii="Times New Roman" w:hAnsi="Times New Roman"/>
          <w:sz w:val="24"/>
          <w:szCs w:val="24"/>
          <w:lang w:val="bg-BG"/>
        </w:rPr>
        <w:t xml:space="preserve"> т</w:t>
      </w:r>
      <w:r w:rsidRPr="00356AF1">
        <w:rPr>
          <w:rFonts w:ascii="Times New Roman" w:hAnsi="Times New Roman"/>
          <w:sz w:val="24"/>
          <w:szCs w:val="24"/>
          <w:lang w:val="bg-BG"/>
        </w:rPr>
        <w:t>емпературата на околната среда, при която е възможно полагане трябва да бъде в граници от -5 °С до +50°С;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.1.7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Окомплектовка:</w:t>
      </w:r>
      <w:r>
        <w:rPr>
          <w:rFonts w:ascii="Times New Roman" w:hAnsi="Times New Roman"/>
          <w:sz w:val="24"/>
          <w:szCs w:val="24"/>
          <w:lang w:val="bg-BG"/>
        </w:rPr>
        <w:t xml:space="preserve"> уфи тип холендър, к</w:t>
      </w:r>
      <w:r w:rsidRPr="00356AF1">
        <w:rPr>
          <w:rFonts w:ascii="Times New Roman" w:hAnsi="Times New Roman"/>
          <w:sz w:val="24"/>
          <w:szCs w:val="24"/>
          <w:lang w:val="bg-BG"/>
        </w:rPr>
        <w:t>райни тапи с резба и гумено уплътнение;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.1.8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Устойчивост на слънчева радиация:</w:t>
      </w:r>
      <w:r>
        <w:rPr>
          <w:rFonts w:ascii="Times New Roman" w:hAnsi="Times New Roman"/>
          <w:sz w:val="24"/>
          <w:szCs w:val="24"/>
          <w:lang w:val="bg-BG"/>
        </w:rPr>
        <w:t xml:space="preserve"> т</w:t>
      </w:r>
      <w:r w:rsidRPr="00356AF1">
        <w:rPr>
          <w:rFonts w:ascii="Times New Roman" w:hAnsi="Times New Roman"/>
          <w:sz w:val="24"/>
          <w:szCs w:val="24"/>
          <w:lang w:val="bg-BG"/>
        </w:rPr>
        <w:t>ръбите трябва да запазват механичните си параметри незащитени от слънчева радиация за период от 6 месеца;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.1.9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Устойчивост на механични въздействия:</w:t>
      </w:r>
      <w:r>
        <w:rPr>
          <w:rFonts w:ascii="Times New Roman" w:hAnsi="Times New Roman"/>
          <w:sz w:val="24"/>
          <w:szCs w:val="24"/>
          <w:lang w:val="bg-BG"/>
        </w:rPr>
        <w:t xml:space="preserve"> д</w:t>
      </w:r>
      <w:r w:rsidRPr="00356AF1">
        <w:rPr>
          <w:rFonts w:ascii="Times New Roman" w:hAnsi="Times New Roman"/>
          <w:sz w:val="24"/>
          <w:szCs w:val="24"/>
          <w:lang w:val="bg-BG"/>
        </w:rPr>
        <w:t>а няма промяна на вътре</w:t>
      </w:r>
      <w:r>
        <w:rPr>
          <w:rFonts w:ascii="Times New Roman" w:hAnsi="Times New Roman"/>
          <w:sz w:val="24"/>
          <w:szCs w:val="24"/>
          <w:lang w:val="bg-BG"/>
        </w:rPr>
        <w:t>шния диаметър над 50 % при удар, както и д</w:t>
      </w:r>
      <w:r w:rsidRPr="00356AF1">
        <w:rPr>
          <w:rFonts w:ascii="Times New Roman" w:hAnsi="Times New Roman"/>
          <w:sz w:val="24"/>
          <w:szCs w:val="24"/>
          <w:lang w:val="bg-BG"/>
        </w:rPr>
        <w:t>а няма промяна на вътрешния диаметър над 5 % при натиск;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.1.10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Устойчивост на механични въздействия при ниски температури:</w:t>
      </w:r>
      <w:r>
        <w:rPr>
          <w:rFonts w:ascii="Times New Roman" w:hAnsi="Times New Roman"/>
          <w:sz w:val="24"/>
          <w:szCs w:val="24"/>
          <w:lang w:val="bg-BG"/>
        </w:rPr>
        <w:t xml:space="preserve"> ц</w:t>
      </w:r>
      <w:r w:rsidRPr="00356AF1">
        <w:rPr>
          <w:rFonts w:ascii="Times New Roman" w:hAnsi="Times New Roman"/>
          <w:sz w:val="24"/>
          <w:szCs w:val="24"/>
          <w:lang w:val="bg-BG"/>
        </w:rPr>
        <w:t>елостта на тръбите не трябва да бъде нарушена;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.1.12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Радиус на огъване: не по-малък от 15 кратния външен диаметър на тръбата;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.1.1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Херметизация:</w:t>
      </w:r>
      <w:r>
        <w:rPr>
          <w:rFonts w:ascii="Times New Roman" w:hAnsi="Times New Roman"/>
          <w:sz w:val="24"/>
          <w:szCs w:val="24"/>
          <w:lang w:val="bg-BG"/>
        </w:rPr>
        <w:t xml:space="preserve"> з</w:t>
      </w:r>
      <w:r w:rsidRPr="00356AF1">
        <w:rPr>
          <w:rFonts w:ascii="Times New Roman" w:hAnsi="Times New Roman"/>
          <w:sz w:val="24"/>
          <w:szCs w:val="24"/>
          <w:lang w:val="bg-BG"/>
        </w:rPr>
        <w:t>аетите тръби трябва да бъдат херметизирани.</w:t>
      </w:r>
    </w:p>
    <w:p w:rsidR="0048451C" w:rsidRDefault="0048451C" w:rsidP="00B037BA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8451C" w:rsidRPr="00356AF1" w:rsidRDefault="0048451C" w:rsidP="000C79C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.2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ab/>
        <w:t>Технически изисквания към оптични кабели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Минималният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период на експлоатация </w:t>
      </w:r>
      <w:r>
        <w:rPr>
          <w:rFonts w:ascii="Times New Roman" w:hAnsi="Times New Roman"/>
          <w:sz w:val="24"/>
          <w:szCs w:val="24"/>
          <w:lang w:val="bg-BG"/>
        </w:rPr>
        <w:t xml:space="preserve">на оптичните кабели да е не по-малко от </w:t>
      </w:r>
      <w:r w:rsidRPr="00356AF1">
        <w:rPr>
          <w:rFonts w:ascii="Times New Roman" w:hAnsi="Times New Roman"/>
          <w:sz w:val="24"/>
          <w:szCs w:val="24"/>
          <w:lang w:val="bg-BG"/>
        </w:rPr>
        <w:t>25</w:t>
      </w:r>
      <w:r>
        <w:rPr>
          <w:rFonts w:ascii="Times New Roman" w:hAnsi="Times New Roman"/>
          <w:sz w:val="24"/>
          <w:szCs w:val="24"/>
          <w:lang w:val="bg-BG"/>
        </w:rPr>
        <w:t xml:space="preserve"> (двадесет и пет) </w:t>
      </w:r>
      <w:r w:rsidRPr="00356AF1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одини</w:t>
      </w:r>
      <w:r w:rsidRPr="00356AF1">
        <w:rPr>
          <w:rFonts w:ascii="Times New Roman" w:hAnsi="Times New Roman"/>
          <w:sz w:val="24"/>
          <w:szCs w:val="24"/>
          <w:lang w:val="bg-BG"/>
        </w:rPr>
        <w:t>.</w:t>
      </w:r>
    </w:p>
    <w:p w:rsidR="0048451C" w:rsidRPr="00356AF1" w:rsidRDefault="0048451C" w:rsidP="001752F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4.2.1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ab/>
        <w:t>Технически изисквания към оптични кабели за външно полагане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2.1.1  </w:t>
      </w:r>
      <w:r w:rsidRPr="00356AF1">
        <w:rPr>
          <w:rFonts w:ascii="Times New Roman" w:hAnsi="Times New Roman"/>
          <w:sz w:val="24"/>
          <w:szCs w:val="24"/>
          <w:lang w:val="bg-BG"/>
        </w:rPr>
        <w:t>Допустима е употребата на кабели с 4,12,24,48 или 72 оптични влакна;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2.1.2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</w:t>
      </w:r>
      <w:r w:rsidRPr="00356AF1">
        <w:rPr>
          <w:rFonts w:ascii="Times New Roman" w:hAnsi="Times New Roman"/>
          <w:sz w:val="24"/>
          <w:szCs w:val="24"/>
          <w:lang w:val="bg-BG"/>
        </w:rPr>
        <w:t>Влакната трябва да съответстват на ITU G.652D;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2.1.3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Материалите не трябва да съдържат токсични вещества, да бъдат безвредни за околната среда;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2.1.4 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Оптичните влакна трябва да са с различен цвят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56AF1">
        <w:rPr>
          <w:rFonts w:ascii="Times New Roman" w:hAnsi="Times New Roman"/>
          <w:sz w:val="24"/>
          <w:szCs w:val="24"/>
          <w:lang w:val="bg-BG"/>
        </w:rPr>
        <w:t>трябва да бъдат защитени с буферна туба;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2.1.5</w:t>
      </w:r>
      <w:r w:rsidRPr="00356AF1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Цветовия код трябва да съответства на стандарт IEC-304 както следва: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1-во влакно – червено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2-ро влакно – зелено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3-то влакно – жълто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4-то влакно – черно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5-то влакно – кафяво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6-то влакно – виолетово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7-мо влакно – сиво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8-мо влакно – небесно синьо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9-то влакно – бяло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10-то влакно – розово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11-то влакно – оранжево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12-то влакно – синьо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2.1.6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В кабелите трябва да бъдат използвани сухи влагозащитни материали;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2.1.7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Външното покритие трябва да бъде от устойчив на въздействия на околната среда полиетилен HDPE; </w:t>
      </w:r>
    </w:p>
    <w:p w:rsidR="0048451C" w:rsidRDefault="0048451C" w:rsidP="000C79C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8451C" w:rsidRPr="00356AF1" w:rsidRDefault="0048451C" w:rsidP="000C79C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4.2.2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ab/>
        <w:t>Технически изисквания към оптични кабели за вътрешно полагане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2.2.1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Допустима е употребата на кабели с 4,12,24,48 или 72 оптични влакна;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4.2.2.2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Оптичните влакна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трябва да съответстват на ITU G.652D;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4.2.2.3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Материалите не трябва да съдържат токсични вещества, да бъдат безвредни за околната среда;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4.2.2.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Оптичните влакна трябва да бъдат защитени с буферна туба;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4.2.2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.5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Цветовия код трябва да съответства на стандарт IEC-304 както следва: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1-во влакно – червено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2-ро влакно – зелено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3-то влакно – жълто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4-то влакно – черно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5-то влакно – кафяво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6-то влакно – виолетово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7-мо влакно – сиво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8-мо влакно – небесно синьо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9-то влакно – бяло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10-то влакно – розово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11-то влакно – оранжево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•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12-то влакно – синьо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4.2.2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.6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В кабелите трябва да бъдат използвани сухи влагозащитни материали;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4.2.2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.7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Кабелното ядро да е равномерно покрито с периферийни подсилващи елементи (Glass Yarn);</w:t>
      </w:r>
    </w:p>
    <w:p w:rsidR="0048451C" w:rsidRPr="00356AF1" w:rsidRDefault="0048451C" w:rsidP="000C79C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4.2.2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.8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Външното покритие трябва да бъде огнеупорно, недимящо LSZH;</w:t>
      </w:r>
    </w:p>
    <w:p w:rsidR="0048451C" w:rsidRDefault="0048451C" w:rsidP="00B037BA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8451C" w:rsidRPr="00356AF1" w:rsidRDefault="0048451C" w:rsidP="000C79C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ab/>
        <w:t>Технически изисквания към оптични муфи</w:t>
      </w:r>
    </w:p>
    <w:p w:rsidR="0048451C" w:rsidRPr="00356AF1" w:rsidRDefault="0048451C" w:rsidP="000C79C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.5.1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Общи изисквания:</w:t>
      </w:r>
    </w:p>
    <w:p w:rsidR="0048451C" w:rsidRPr="00356AF1" w:rsidRDefault="0048451C" w:rsidP="001C073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Муфите да могат да се монтират в кабелни шахти;</w:t>
      </w:r>
    </w:p>
    <w:p w:rsidR="0048451C" w:rsidRPr="00356AF1" w:rsidRDefault="0048451C" w:rsidP="001C073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Да осигуряват лесен достъп до сплайс касетите;</w:t>
      </w:r>
    </w:p>
    <w:p w:rsidR="0048451C" w:rsidRPr="00356AF1" w:rsidRDefault="0048451C" w:rsidP="001C073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Да разполагат минимум с 4 кръгли порта и един овален порт;</w:t>
      </w:r>
    </w:p>
    <w:p w:rsidR="0048451C" w:rsidRPr="00356AF1" w:rsidRDefault="0048451C" w:rsidP="001C073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Оптичните муфи да са с капацитет до 48 сплайса и до 72 сплайса;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.5.2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Материали: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Всички метални части на оптичните муфи да са издръжливи на корозия;</w:t>
      </w:r>
    </w:p>
    <w:p w:rsidR="0048451C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.5.</w:t>
      </w:r>
      <w:r w:rsidRPr="001C0733">
        <w:rPr>
          <w:rFonts w:ascii="Times New Roman" w:hAnsi="Times New Roman"/>
          <w:b/>
          <w:sz w:val="24"/>
          <w:szCs w:val="24"/>
          <w:lang w:val="bg-BG"/>
        </w:rPr>
        <w:t>3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Конструкция на муфите: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451C" w:rsidRPr="00356AF1" w:rsidRDefault="0048451C" w:rsidP="001C073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Основата да бъде с минимум 4 кръгли порта позволяващи инсталация на оптични кабели с дебелина от 5мм до 30мм и един овален порт позволяващ инсталация на кабели от 12мм до 25мм;</w:t>
      </w:r>
    </w:p>
    <w:p w:rsidR="0048451C" w:rsidRPr="00356AF1" w:rsidRDefault="0048451C" w:rsidP="001C073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Муфата да позволява инсталация на кабели за вътрешно и външно полагане</w:t>
      </w:r>
    </w:p>
    <w:p w:rsidR="0048451C" w:rsidRPr="00356AF1" w:rsidRDefault="0048451C" w:rsidP="001C073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Сплайс касетите да са с капацитет от минимум 12 сплайса;</w:t>
      </w:r>
    </w:p>
    <w:p w:rsidR="0048451C" w:rsidRPr="00356AF1" w:rsidRDefault="0048451C" w:rsidP="001C073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Отворите на портовете да са фабрично запечатани и да се отварят само при необходимост;</w:t>
      </w:r>
    </w:p>
    <w:p w:rsidR="0048451C" w:rsidRPr="00356AF1" w:rsidRDefault="0048451C" w:rsidP="001C073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Портовете на оптичната муфа да се запечатват с термофитен маншон непозволяващ проникването на влага след подвеждане на оптичен кабел към него;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451C" w:rsidRPr="00356AF1" w:rsidRDefault="0048451C" w:rsidP="009D3D0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.5.4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Конструкция на муфи с интегриран оптичен разпределител (ODF):</w:t>
      </w:r>
    </w:p>
    <w:p w:rsidR="0048451C" w:rsidRPr="00356AF1" w:rsidRDefault="0048451C" w:rsidP="001C073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Основата да бъде с минимум 4 кръгли порта позволяващи инсталация на оптични кабели с дебелина от 5мм до 30мм и един овален порт позволяващ инсталация на кабели от 12мм до 25мм;</w:t>
      </w:r>
    </w:p>
    <w:p w:rsidR="0048451C" w:rsidRPr="00356AF1" w:rsidRDefault="0048451C" w:rsidP="001C073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Муфата да позволява инсталация на кабели за вътрешно и външно полагане;</w:t>
      </w:r>
    </w:p>
    <w:p w:rsidR="0048451C" w:rsidRPr="00356AF1" w:rsidRDefault="0048451C" w:rsidP="001C073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Сплайс касетите да са с капацитет от минимум 12 сплайса;</w:t>
      </w:r>
    </w:p>
    <w:p w:rsidR="0048451C" w:rsidRPr="00356AF1" w:rsidRDefault="0048451C" w:rsidP="001C073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Отворите на портовете да са фабрично запечатани и да се отварят само при необходимост;</w:t>
      </w:r>
    </w:p>
    <w:p w:rsidR="0048451C" w:rsidRPr="00356AF1" w:rsidRDefault="0048451C" w:rsidP="001C073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Портовете на оптичната муфа да се запечатват с термофитен маншон непозволяващ проникването на влага след подвеждане на оптичен кабел към него;</w:t>
      </w:r>
    </w:p>
    <w:p w:rsidR="0048451C" w:rsidRPr="00356AF1" w:rsidRDefault="0048451C" w:rsidP="001C073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Интегрирания в оптичната муфа оптичен разпределител (ODF) да бъде с капацитет от минимум 24 конектора;</w:t>
      </w:r>
    </w:p>
    <w:p w:rsidR="0048451C" w:rsidRPr="00356AF1" w:rsidRDefault="0048451C" w:rsidP="001C073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Оптичния разпределител да бъде окомплектован с LC/APC адаптери и пигтейли;</w:t>
      </w:r>
    </w:p>
    <w:p w:rsidR="0048451C" w:rsidRDefault="0048451C" w:rsidP="00B037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451C" w:rsidRPr="00356AF1" w:rsidRDefault="0048451C" w:rsidP="009D3D0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.6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Технически изисквания към оптични разпределители (ОDF)</w:t>
      </w:r>
    </w:p>
    <w:p w:rsidR="0048451C" w:rsidRDefault="0048451C" w:rsidP="009D3D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.6.1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Общи изисквания:</w:t>
      </w:r>
    </w:p>
    <w:p w:rsidR="0048451C" w:rsidRDefault="0048451C" w:rsidP="001C0733">
      <w:pPr>
        <w:numPr>
          <w:ilvl w:val="0"/>
          <w:numId w:val="19"/>
        </w:numPr>
        <w:tabs>
          <w:tab w:val="clear" w:pos="2145"/>
        </w:tabs>
        <w:spacing w:after="0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Оптичния разпределител трябва да осигурява безопасно развиване на входящите оптични кабели;</w:t>
      </w:r>
    </w:p>
    <w:p w:rsidR="0048451C" w:rsidRDefault="0048451C" w:rsidP="001C0733">
      <w:pPr>
        <w:numPr>
          <w:ilvl w:val="0"/>
          <w:numId w:val="19"/>
        </w:numPr>
        <w:tabs>
          <w:tab w:val="clear" w:pos="2145"/>
        </w:tabs>
        <w:spacing w:after="0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Оптичния разпределител трябва да осигурява лесен достъп всички конектори и сплайсове;</w:t>
      </w:r>
    </w:p>
    <w:p w:rsidR="0048451C" w:rsidRPr="001C0733" w:rsidRDefault="0048451C" w:rsidP="001C0733">
      <w:pPr>
        <w:numPr>
          <w:ilvl w:val="0"/>
          <w:numId w:val="19"/>
        </w:numPr>
        <w:tabs>
          <w:tab w:val="clear" w:pos="2145"/>
        </w:tabs>
        <w:spacing w:after="0"/>
        <w:ind w:left="1080" w:hanging="72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Оптичния разпределител трябва да съдържа една или повече сплайс касети където да се правят сплайсовете между вход</w:t>
      </w:r>
      <w:r>
        <w:rPr>
          <w:rFonts w:ascii="Times New Roman" w:hAnsi="Times New Roman"/>
          <w:sz w:val="24"/>
          <w:szCs w:val="24"/>
          <w:lang w:val="bg-BG"/>
        </w:rPr>
        <w:t>ящия оптичен кабел и пигтейлите;</w:t>
      </w:r>
    </w:p>
    <w:p w:rsidR="0048451C" w:rsidRPr="001C0733" w:rsidRDefault="0048451C" w:rsidP="001C0733">
      <w:pPr>
        <w:numPr>
          <w:ilvl w:val="0"/>
          <w:numId w:val="19"/>
        </w:numPr>
        <w:tabs>
          <w:tab w:val="clear" w:pos="2145"/>
        </w:tabs>
        <w:spacing w:after="0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Оптичните разпределители трябва да са предвидени за употреба в сгради;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.6.2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Конструкция:</w:t>
      </w:r>
    </w:p>
    <w:p w:rsidR="0048451C" w:rsidRPr="00356AF1" w:rsidRDefault="0048451C" w:rsidP="001C073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Крайните оптични разпределители трябва да бъдат изцяло метални;</w:t>
      </w:r>
    </w:p>
    <w:p w:rsidR="0048451C" w:rsidRPr="00356AF1" w:rsidRDefault="0048451C" w:rsidP="001C073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Крайните оптични разпределители трябва да позволяват монтаж в 19” РАК;</w:t>
      </w:r>
    </w:p>
    <w:p w:rsidR="0048451C" w:rsidRPr="00356AF1" w:rsidRDefault="0048451C" w:rsidP="001C073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Всички метални части трябва да са устойчиви на корозия;</w:t>
      </w:r>
    </w:p>
    <w:p w:rsidR="0048451C" w:rsidRPr="00356AF1" w:rsidRDefault="0048451C" w:rsidP="001C073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Всички полимерни части трябва да са направени от негорим материал;</w:t>
      </w:r>
    </w:p>
    <w:p w:rsidR="0048451C" w:rsidRPr="00356AF1" w:rsidRDefault="0048451C" w:rsidP="001C073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Сплайс касетите в оптичните разпределители да са с капацитет от минимум 12  сплайса всяка;</w:t>
      </w:r>
    </w:p>
    <w:p w:rsidR="0048451C" w:rsidRPr="00356AF1" w:rsidRDefault="0048451C" w:rsidP="00C8532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.6.3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Тип на конекторите и адаптерите: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-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При всички оптични разпределители трябва да се използват SC/APC адаптери;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-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При всички оптични разпределители трябва да се използват SC/APC конектори;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>-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При всички оптични разпределители трябва да се използват SC/APC пигтейли;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.6.4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356AF1">
        <w:rPr>
          <w:rFonts w:ascii="Times New Roman" w:hAnsi="Times New Roman"/>
          <w:sz w:val="24"/>
          <w:szCs w:val="24"/>
          <w:lang w:val="bg-BG"/>
        </w:rPr>
        <w:t>Всички оптични разпределители трябва да осигуряват минималните радиуси на   огъване на оптичните влакна;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.6.5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356AF1">
        <w:rPr>
          <w:rFonts w:ascii="Times New Roman" w:hAnsi="Times New Roman"/>
          <w:sz w:val="24"/>
          <w:szCs w:val="24"/>
          <w:lang w:val="bg-BG"/>
        </w:rPr>
        <w:t>Всички оптични разпределители да се доставят напълно окомплектовани</w:t>
      </w:r>
      <w:r>
        <w:rPr>
          <w:rFonts w:ascii="Times New Roman" w:hAnsi="Times New Roman"/>
          <w:sz w:val="24"/>
          <w:szCs w:val="24"/>
          <w:lang w:val="bg-BG"/>
        </w:rPr>
        <w:t xml:space="preserve"> с о</w:t>
      </w:r>
      <w:r w:rsidRPr="00356AF1">
        <w:rPr>
          <w:rFonts w:ascii="Times New Roman" w:hAnsi="Times New Roman"/>
          <w:sz w:val="24"/>
          <w:szCs w:val="24"/>
          <w:lang w:val="bg-BG"/>
        </w:rPr>
        <w:t>птичен разпределител</w:t>
      </w:r>
      <w:r>
        <w:rPr>
          <w:rFonts w:ascii="Times New Roman" w:hAnsi="Times New Roman"/>
          <w:sz w:val="24"/>
          <w:szCs w:val="24"/>
          <w:lang w:val="bg-BG"/>
        </w:rPr>
        <w:t>, с</w:t>
      </w:r>
      <w:r w:rsidRPr="00356AF1">
        <w:rPr>
          <w:rFonts w:ascii="Times New Roman" w:hAnsi="Times New Roman"/>
          <w:sz w:val="24"/>
          <w:szCs w:val="24"/>
          <w:lang w:val="bg-BG"/>
        </w:rPr>
        <w:t>плайс касети</w:t>
      </w:r>
      <w:r>
        <w:rPr>
          <w:rFonts w:ascii="Times New Roman" w:hAnsi="Times New Roman"/>
          <w:sz w:val="24"/>
          <w:szCs w:val="24"/>
          <w:lang w:val="bg-BG"/>
        </w:rPr>
        <w:t>, т</w:t>
      </w:r>
      <w:r w:rsidRPr="00356AF1">
        <w:rPr>
          <w:rFonts w:ascii="Times New Roman" w:hAnsi="Times New Roman"/>
          <w:sz w:val="24"/>
          <w:szCs w:val="24"/>
          <w:lang w:val="bg-BG"/>
        </w:rPr>
        <w:t>ермофитни маншони за сплайсовете на оптичните влакна</w:t>
      </w:r>
      <w:r>
        <w:rPr>
          <w:rFonts w:ascii="Times New Roman" w:hAnsi="Times New Roman"/>
          <w:sz w:val="24"/>
          <w:szCs w:val="24"/>
          <w:lang w:val="bg-BG"/>
        </w:rPr>
        <w:t>, а</w:t>
      </w:r>
      <w:r w:rsidRPr="00356AF1">
        <w:rPr>
          <w:rFonts w:ascii="Times New Roman" w:hAnsi="Times New Roman"/>
          <w:sz w:val="24"/>
          <w:szCs w:val="24"/>
          <w:lang w:val="bg-BG"/>
        </w:rPr>
        <w:t>даптери</w:t>
      </w:r>
      <w:r>
        <w:rPr>
          <w:rFonts w:ascii="Times New Roman" w:hAnsi="Times New Roman"/>
          <w:sz w:val="24"/>
          <w:szCs w:val="24"/>
          <w:lang w:val="bg-BG"/>
        </w:rPr>
        <w:t>, п</w:t>
      </w:r>
      <w:r w:rsidRPr="00356AF1">
        <w:rPr>
          <w:rFonts w:ascii="Times New Roman" w:hAnsi="Times New Roman"/>
          <w:sz w:val="24"/>
          <w:szCs w:val="24"/>
          <w:lang w:val="bg-BG"/>
        </w:rPr>
        <w:t>игтейли</w:t>
      </w:r>
      <w:r>
        <w:rPr>
          <w:rFonts w:ascii="Times New Roman" w:hAnsi="Times New Roman"/>
          <w:sz w:val="24"/>
          <w:szCs w:val="24"/>
          <w:lang w:val="bg-BG"/>
        </w:rPr>
        <w:t>;</w:t>
      </w:r>
      <w:r w:rsidRPr="00356AF1">
        <w:rPr>
          <w:rFonts w:ascii="Times New Roman" w:hAnsi="Times New Roman"/>
          <w:sz w:val="24"/>
          <w:szCs w:val="24"/>
          <w:lang w:val="bg-BG"/>
        </w:rPr>
        <w:tab/>
      </w:r>
    </w:p>
    <w:p w:rsidR="0048451C" w:rsidRDefault="0048451C" w:rsidP="00B037BA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.7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ab/>
        <w:t>Технически изисквания към РРЛ апаратура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.7</w:t>
      </w:r>
      <w:r w:rsidRPr="001C0733">
        <w:rPr>
          <w:rFonts w:ascii="Times New Roman" w:hAnsi="Times New Roman"/>
          <w:b/>
          <w:sz w:val="24"/>
          <w:szCs w:val="24"/>
          <w:lang w:val="bg-BG"/>
        </w:rPr>
        <w:t>.1.</w:t>
      </w:r>
      <w:r w:rsidRPr="001C0733">
        <w:rPr>
          <w:rFonts w:ascii="Times New Roman" w:hAnsi="Times New Roman"/>
          <w:b/>
          <w:sz w:val="24"/>
          <w:szCs w:val="24"/>
          <w:lang w:val="bg-BG"/>
        </w:rPr>
        <w:tab/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РРЛ апаратура трябва да отговаря на изискванията на европейските стандарти за маските на излъчване на радиочестотния спектър, съгласно ETSI EN 302-217-1, ETSI EN 302-217-2-1 и ETSI EN 302-217-2.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.7</w:t>
      </w:r>
      <w:r w:rsidRPr="001C0733">
        <w:rPr>
          <w:rFonts w:ascii="Times New Roman" w:hAnsi="Times New Roman"/>
          <w:b/>
          <w:sz w:val="24"/>
          <w:szCs w:val="24"/>
          <w:lang w:val="bg-BG"/>
        </w:rPr>
        <w:t>.2.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 xml:space="preserve"> РРЛ апаратура трябва да отговаря на изискванията за електромагнитна съвместимост (EMC/EMI) според БДС EN 55022 за клас В съоръжения и БДС EN 50082-1. Излъчващите съоръжения трябва да отговарят на изискванията за EMC от БДС EN 300 339.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.7</w:t>
      </w:r>
      <w:r w:rsidRPr="001C0733">
        <w:rPr>
          <w:rFonts w:ascii="Times New Roman" w:hAnsi="Times New Roman"/>
          <w:b/>
          <w:sz w:val="24"/>
          <w:szCs w:val="24"/>
          <w:lang w:val="bg-BG"/>
        </w:rPr>
        <w:t>.3.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 xml:space="preserve"> РРЛ апаратура трябва да може да работи в същата кула/сграда, в която има един или повече VHF и UHF ЧМ радио и ТВ предаватели (ефективна излъчена мощност 1000 kW в обхвати 3,4 и 5) и други излъчващи съоръжения.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.7</w:t>
      </w:r>
      <w:r w:rsidRPr="001C0733">
        <w:rPr>
          <w:rFonts w:ascii="Times New Roman" w:hAnsi="Times New Roman"/>
          <w:b/>
          <w:sz w:val="24"/>
          <w:szCs w:val="24"/>
          <w:lang w:val="bg-BG"/>
        </w:rPr>
        <w:t>.4.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 xml:space="preserve"> РРЛ апаратура трябва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да запазва гарантираните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стойности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на характеристиките си в условия на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електромагнитно поле от 10 V/m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при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честоти до 1000 MHz (БДС EN 61000-4-3).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.7</w:t>
      </w:r>
      <w:r w:rsidRPr="001C0733">
        <w:rPr>
          <w:rFonts w:ascii="Times New Roman" w:hAnsi="Times New Roman"/>
          <w:b/>
          <w:sz w:val="24"/>
          <w:szCs w:val="24"/>
          <w:lang w:val="bg-BG"/>
        </w:rPr>
        <w:t>.5.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 xml:space="preserve"> Нивото на външните странични излъчвания не трябва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да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>превишава граничните стойности, дефинирани в Препоръка CEPT/ERC 74-01.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.7</w:t>
      </w:r>
      <w:r w:rsidRPr="001C0733">
        <w:rPr>
          <w:rFonts w:ascii="Times New Roman" w:hAnsi="Times New Roman"/>
          <w:b/>
          <w:sz w:val="24"/>
          <w:szCs w:val="24"/>
          <w:lang w:val="bg-BG"/>
        </w:rPr>
        <w:t>.6.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 xml:space="preserve"> Нивото на вътрешните странични излъчвания от предавателя трябва да отговаря на изискванията за различните честотни обхвати, съгласно ETSI EN 302- 217-1, ETSI EN 302-217-2-1 и ETSI EN 302-217-2.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.7</w:t>
      </w:r>
      <w:r w:rsidRPr="00356AF1">
        <w:rPr>
          <w:rFonts w:ascii="Times New Roman" w:hAnsi="Times New Roman"/>
          <w:sz w:val="24"/>
          <w:szCs w:val="24"/>
          <w:lang w:val="bg-BG"/>
        </w:rPr>
        <w:t>.</w:t>
      </w:r>
      <w:r w:rsidRPr="001C0733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356AF1">
        <w:rPr>
          <w:rFonts w:ascii="Times New Roman" w:hAnsi="Times New Roman"/>
          <w:sz w:val="24"/>
          <w:szCs w:val="24"/>
          <w:lang w:val="bg-BG"/>
        </w:rPr>
        <w:tab/>
        <w:t xml:space="preserve"> Стойностите на коефициентите на усилване от диаграмите на излъчване на РР антени не трябва да превишават съответните стойности от еталонната диаграма от Препоръка ITU-R F.699 и ITU-R F.1245 или на европейския стандарт EN 300 833 клас 3.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356AF1">
        <w:rPr>
          <w:rFonts w:ascii="Times New Roman" w:hAnsi="Times New Roman"/>
          <w:sz w:val="24"/>
          <w:szCs w:val="24"/>
          <w:lang w:val="bg-BG"/>
        </w:rPr>
        <w:tab/>
      </w:r>
      <w:r w:rsidRPr="00356AF1">
        <w:rPr>
          <w:rFonts w:ascii="Times New Roman" w:hAnsi="Times New Roman"/>
          <w:sz w:val="24"/>
          <w:szCs w:val="24"/>
          <w:lang w:val="bg-BG"/>
        </w:rPr>
        <w:tab/>
      </w:r>
    </w:p>
    <w:p w:rsidR="0048451C" w:rsidRPr="00356AF1" w:rsidRDefault="0048451C" w:rsidP="009D3D0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 Изисквания към изграждането на комуникационната инфраструктура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Изпълнителят трябва да изгради, инсталира, и тества комуникационната инфраструктура съгласно одобрените работни проекти. 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.2.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Изпълнителят трябва да представи в срок до две седмици след подписване на договора за изпълнение подробен график за дейностите по предварително проучване, проектиране и изграждане.</w:t>
      </w: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.3.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След приключване на дейностите по изграждане на комуникационната инфраструктура, Изпълнителят трябва да предостави детайлна техническа документация за всеки завършен обект по отделно.</w:t>
      </w:r>
    </w:p>
    <w:p w:rsidR="0048451C" w:rsidRDefault="0048451C" w:rsidP="00B037BA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8451C" w:rsidRPr="00356AF1" w:rsidRDefault="0048451C" w:rsidP="001C073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 Гаранционни изисквания</w:t>
      </w:r>
    </w:p>
    <w:p w:rsidR="0048451C" w:rsidRPr="00356AF1" w:rsidRDefault="0048451C" w:rsidP="00C8532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След успешното приключване на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дейностите по изграждане на комуникационната инфраструктура, Изпълнителя се задължава да осигури гаранционен срок 5 (пет) години за изпълнени строителни и монтажни работи съгласно НАРЕДБА № 2  ЗА ВЪВЕЖДАНЕ В ЕКСПЛОАТАЦИЯ НА СТРОЕЖИТЕ В РЕПУБЛИКА БЪЛГАРИЯ И МИНИМАЛНИ ГАРАНЦИОННИ СРОКОВЕ ЗА ИЗПЪЛНЕНИ СТРОИТЕЛНИ И МОНТАЖНИ РАБОТИ, </w:t>
      </w:r>
      <w:r>
        <w:rPr>
          <w:rFonts w:ascii="Times New Roman" w:hAnsi="Times New Roman"/>
          <w:sz w:val="24"/>
          <w:szCs w:val="24"/>
          <w:lang w:val="bg-BG"/>
        </w:rPr>
        <w:t>СЪОРЪЖЕНИЯ И СТРОИТЕЛНИ ОБЕКТИ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56AF1">
        <w:rPr>
          <w:rFonts w:ascii="Times New Roman" w:hAnsi="Times New Roman"/>
          <w:sz w:val="24"/>
          <w:szCs w:val="24"/>
          <w:lang w:val="bg-BG"/>
        </w:rPr>
        <w:t>чл. 20, ал. 4</w:t>
      </w:r>
      <w:r>
        <w:rPr>
          <w:rFonts w:ascii="Times New Roman" w:hAnsi="Times New Roman"/>
          <w:sz w:val="24"/>
          <w:szCs w:val="24"/>
        </w:rPr>
        <w:t>)</w:t>
      </w:r>
      <w:r w:rsidRPr="00356AF1">
        <w:rPr>
          <w:rFonts w:ascii="Times New Roman" w:hAnsi="Times New Roman"/>
          <w:sz w:val="24"/>
          <w:szCs w:val="24"/>
          <w:lang w:val="bg-BG"/>
        </w:rPr>
        <w:t>.</w:t>
      </w:r>
    </w:p>
    <w:p w:rsidR="0048451C" w:rsidRDefault="0048451C" w:rsidP="00B037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451C" w:rsidRPr="00356AF1" w:rsidRDefault="0048451C" w:rsidP="00C8532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VII. 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Изисквания към работните проекти и документацията.</w:t>
      </w:r>
    </w:p>
    <w:p w:rsidR="0048451C" w:rsidRPr="00C85328" w:rsidRDefault="0048451C" w:rsidP="00C8532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.1.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Работните проекти да отговарят н</w:t>
      </w:r>
      <w:r>
        <w:rPr>
          <w:rFonts w:ascii="Times New Roman" w:hAnsi="Times New Roman"/>
          <w:sz w:val="24"/>
          <w:szCs w:val="24"/>
          <w:lang w:val="bg-BG"/>
        </w:rPr>
        <w:t>а следните нормативни документи: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7.1.1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Наредба № 4 от 2001 г. за обхвата и съдържанието на инвестиционните проекти (ДВ, бр. 51 от 2001 г.); 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7.1.2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Наредба №8 от 28.07.1999г. за правила и норми за разполагане на технически проводи и съоръжения в населените места;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7.1.3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Наредба №17 Правила за изграждане на кабелни далекосъобщителни мрежи и съоръжения към тях. В сила от 03.06.2005г.;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7.1.4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ЗУТ – Закон за устройство на територията;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7.1.5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БДС 3636 - 81 “Шахти кабелни за съобщителни канални мрежи”;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7.1.6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Инструкция за строителство на оптични кабелни линии – 2004 г. на БТК-АД;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7.1.7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ПБТ при строително – монтажни работи Д – 02 – 001;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7.1.8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ПБТ при товаро - разтоварни работи Д – 05 – 001;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7.1.9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Правилник за защита на съобщителните линии от опасно и смущаващо   електромагнитно влияние на електропроводните линии и за допустимите минимални сближения Д -006 – 002;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7.1.10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Наредба 15 на МВР за пожарна безопасност при извършване на огневи работи;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7.1.11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Наредба №9 за сигнализация на строителството и ремонта на пътищата;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7.1.12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“Основни положения,  натоварвания и въздействия” Наредба №3 –2004г.;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7.1.13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“Норми за проектиране на стоманени конструкции” 1986г.;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7.1.14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“Норми за проектиране на стоманобетонни конструкции” 1988г.;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7.1.15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Наредба №2 за проектиране на сгради и съоръжения в земетръсни райони- 2007г.;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7.1.16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БДС 1050-89- Натоварвания подвижни вертикални за изчисляване на пътни мостове;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7.1.17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БДС 3649 –74- Капаци за шахти на улични платна и тротоари;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7.1.18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„Технически изисквания за подземни телефонни тръбни мрежи” – НИИС, 2001г.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7.1.19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/>
          <w:sz w:val="24"/>
          <w:szCs w:val="24"/>
          <w:lang w:val="bg-BG"/>
        </w:rPr>
        <w:t>„Наредба за определяне на процедурните правила и технически параметри за работа на далекосъобщителни мрежи от неподвижната радиослужба" - доп. ДВ бр. 59 от 19.07.2005 г.</w:t>
      </w:r>
    </w:p>
    <w:p w:rsidR="0048451C" w:rsidRPr="00356AF1" w:rsidRDefault="0048451C" w:rsidP="00C8532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 xml:space="preserve">.2. </w:t>
      </w:r>
      <w:r w:rsidRPr="00356AF1">
        <w:rPr>
          <w:rFonts w:ascii="Times New Roman" w:hAnsi="Times New Roman"/>
          <w:sz w:val="24"/>
          <w:szCs w:val="24"/>
          <w:lang w:val="bg-BG"/>
        </w:rPr>
        <w:t>Работните проекти трябва да се изготвят от лица, притежаващи пълна проектантска правоспособност и вписани в съответния регистър на Камара на инженерите в инвестиционното проектиране.</w:t>
      </w:r>
    </w:p>
    <w:p w:rsidR="0048451C" w:rsidRPr="00356AF1" w:rsidRDefault="0048451C" w:rsidP="00C8532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 xml:space="preserve">.3. </w:t>
      </w:r>
      <w:r w:rsidRPr="00356AF1">
        <w:rPr>
          <w:rFonts w:ascii="Times New Roman" w:hAnsi="Times New Roman"/>
          <w:sz w:val="24"/>
          <w:szCs w:val="24"/>
          <w:lang w:val="bg-BG"/>
        </w:rPr>
        <w:t>Работният проект трябва да съдържа следните части: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7.3.1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356AF1">
        <w:rPr>
          <w:rFonts w:ascii="Times New Roman" w:hAnsi="Times New Roman"/>
          <w:sz w:val="24"/>
          <w:szCs w:val="24"/>
          <w:lang w:val="bg-BG"/>
        </w:rPr>
        <w:t>Технология</w:t>
      </w:r>
      <w:r>
        <w:rPr>
          <w:rFonts w:ascii="Times New Roman" w:hAnsi="Times New Roman"/>
          <w:sz w:val="24"/>
          <w:szCs w:val="24"/>
          <w:lang w:val="bg-BG"/>
        </w:rPr>
        <w:t xml:space="preserve">”, съдържаща </w:t>
      </w:r>
      <w:r w:rsidRPr="00356AF1">
        <w:rPr>
          <w:rFonts w:ascii="Times New Roman" w:hAnsi="Times New Roman"/>
          <w:sz w:val="24"/>
          <w:szCs w:val="24"/>
          <w:lang w:val="bg-BG"/>
        </w:rPr>
        <w:t>обяснителна записка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356AF1">
        <w:rPr>
          <w:rFonts w:ascii="Times New Roman" w:hAnsi="Times New Roman"/>
          <w:sz w:val="24"/>
          <w:szCs w:val="24"/>
          <w:lang w:val="bg-BG"/>
        </w:rPr>
        <w:t>количествени сметки с видове строително монтажни работи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356AF1">
        <w:rPr>
          <w:rFonts w:ascii="Times New Roman" w:hAnsi="Times New Roman"/>
          <w:sz w:val="24"/>
          <w:szCs w:val="24"/>
          <w:lang w:val="bg-BG"/>
        </w:rPr>
        <w:t>спецификация на материалите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356AF1">
        <w:rPr>
          <w:rFonts w:ascii="Times New Roman" w:hAnsi="Times New Roman"/>
          <w:sz w:val="24"/>
          <w:szCs w:val="24"/>
          <w:lang w:val="bg-BG"/>
        </w:rPr>
        <w:t>работни чертежи и детайли, монтажни схеми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7.3.2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356AF1">
        <w:rPr>
          <w:rFonts w:ascii="Times New Roman" w:hAnsi="Times New Roman"/>
          <w:sz w:val="24"/>
          <w:szCs w:val="24"/>
          <w:lang w:val="bg-BG"/>
        </w:rPr>
        <w:t>Електро</w:t>
      </w:r>
      <w:r>
        <w:rPr>
          <w:rFonts w:ascii="Times New Roman" w:hAnsi="Times New Roman"/>
          <w:sz w:val="24"/>
          <w:szCs w:val="24"/>
          <w:lang w:val="bg-BG"/>
        </w:rPr>
        <w:t>”;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7.3.3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356AF1">
        <w:rPr>
          <w:rFonts w:ascii="Times New Roman" w:hAnsi="Times New Roman"/>
          <w:sz w:val="24"/>
          <w:szCs w:val="24"/>
          <w:lang w:val="bg-BG"/>
        </w:rPr>
        <w:t>План за безопасност и здраве</w:t>
      </w:r>
      <w:r>
        <w:rPr>
          <w:rFonts w:ascii="Times New Roman" w:hAnsi="Times New Roman"/>
          <w:sz w:val="24"/>
          <w:szCs w:val="24"/>
          <w:lang w:val="bg-BG"/>
        </w:rPr>
        <w:t>”;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9D3D0F">
        <w:rPr>
          <w:rFonts w:ascii="Times New Roman" w:hAnsi="Times New Roman"/>
          <w:b/>
          <w:sz w:val="24"/>
          <w:szCs w:val="24"/>
          <w:lang w:val="bg-BG"/>
        </w:rPr>
        <w:t>7.3.4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356AF1">
        <w:rPr>
          <w:rFonts w:ascii="Times New Roman" w:hAnsi="Times New Roman"/>
          <w:sz w:val="24"/>
          <w:szCs w:val="24"/>
          <w:lang w:val="bg-BG"/>
        </w:rPr>
        <w:t>Пожарна и аварийна безопасност</w:t>
      </w:r>
      <w:r>
        <w:rPr>
          <w:rFonts w:ascii="Times New Roman" w:hAnsi="Times New Roman"/>
          <w:sz w:val="24"/>
          <w:szCs w:val="24"/>
          <w:lang w:val="bg-BG"/>
        </w:rPr>
        <w:t>”.</w:t>
      </w:r>
    </w:p>
    <w:p w:rsidR="0048451C" w:rsidRPr="00356AF1" w:rsidRDefault="0048451C" w:rsidP="00C8532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356AF1">
        <w:rPr>
          <w:rFonts w:ascii="Times New Roman" w:hAnsi="Times New Roman"/>
          <w:b/>
          <w:sz w:val="24"/>
          <w:szCs w:val="24"/>
          <w:lang w:val="bg-BG"/>
        </w:rPr>
        <w:t>.4.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 Комуникационната инфраструктура трябва да бъде въведена в експлоатация заедно със съответната й подробна експлоатационна документация на хартиен и/или електронен носител.</w:t>
      </w:r>
      <w:r>
        <w:rPr>
          <w:rFonts w:ascii="Times New Roman" w:hAnsi="Times New Roman"/>
          <w:sz w:val="24"/>
          <w:szCs w:val="24"/>
          <w:lang w:val="bg-BG"/>
        </w:rPr>
        <w:t xml:space="preserve"> Ц</w:t>
      </w:r>
      <w:r w:rsidRPr="00356AF1">
        <w:rPr>
          <w:rFonts w:ascii="Times New Roman" w:hAnsi="Times New Roman"/>
          <w:sz w:val="24"/>
          <w:szCs w:val="24"/>
          <w:lang w:val="bg-BG"/>
        </w:rPr>
        <w:t xml:space="preserve">ялата </w:t>
      </w:r>
      <w:r>
        <w:rPr>
          <w:rFonts w:ascii="Times New Roman" w:hAnsi="Times New Roman"/>
          <w:sz w:val="24"/>
          <w:szCs w:val="24"/>
          <w:lang w:val="bg-BG"/>
        </w:rPr>
        <w:t xml:space="preserve">проектна </w:t>
      </w:r>
      <w:r w:rsidRPr="00356AF1">
        <w:rPr>
          <w:rFonts w:ascii="Times New Roman" w:hAnsi="Times New Roman"/>
          <w:sz w:val="24"/>
          <w:szCs w:val="24"/>
          <w:lang w:val="bg-BG"/>
        </w:rPr>
        <w:t>техническа документация т</w:t>
      </w:r>
      <w:r>
        <w:rPr>
          <w:rFonts w:ascii="Times New Roman" w:hAnsi="Times New Roman"/>
          <w:sz w:val="24"/>
          <w:szCs w:val="24"/>
          <w:lang w:val="bg-BG"/>
        </w:rPr>
        <w:t xml:space="preserve">рябва да бъде на български език и </w:t>
      </w:r>
      <w:r w:rsidRPr="00356AF1">
        <w:rPr>
          <w:rFonts w:ascii="Times New Roman" w:hAnsi="Times New Roman"/>
          <w:sz w:val="24"/>
          <w:szCs w:val="24"/>
          <w:lang w:val="bg-BG"/>
        </w:rPr>
        <w:t>да отговаря на определените стандарти и утвърдени добри практики.</w:t>
      </w:r>
    </w:p>
    <w:p w:rsidR="0048451C" w:rsidRPr="00356AF1" w:rsidRDefault="0048451C" w:rsidP="00B037B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451C" w:rsidRPr="00356AF1" w:rsidRDefault="0048451C" w:rsidP="00B037BA">
      <w:pPr>
        <w:spacing w:after="0"/>
        <w:rPr>
          <w:lang w:val="bg-BG"/>
        </w:rPr>
      </w:pPr>
    </w:p>
    <w:sectPr w:rsidR="0048451C" w:rsidRPr="00356AF1" w:rsidSect="0034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65"/>
    <w:multiLevelType w:val="hybridMultilevel"/>
    <w:tmpl w:val="817CF8C4"/>
    <w:lvl w:ilvl="0" w:tplc="B728085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D4FF5"/>
    <w:multiLevelType w:val="hybridMultilevel"/>
    <w:tmpl w:val="6A269D96"/>
    <w:lvl w:ilvl="0" w:tplc="B728085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7613C"/>
    <w:multiLevelType w:val="hybridMultilevel"/>
    <w:tmpl w:val="B2A02FB2"/>
    <w:lvl w:ilvl="0" w:tplc="2C54FC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2E0F2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942035"/>
    <w:multiLevelType w:val="hybridMultilevel"/>
    <w:tmpl w:val="B1268C5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6C4F21"/>
    <w:multiLevelType w:val="multilevel"/>
    <w:tmpl w:val="6C3A45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0941114"/>
    <w:multiLevelType w:val="hybridMultilevel"/>
    <w:tmpl w:val="A0183C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36386"/>
    <w:multiLevelType w:val="hybridMultilevel"/>
    <w:tmpl w:val="8EC22CEC"/>
    <w:lvl w:ilvl="0" w:tplc="B728085E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6B69E9"/>
    <w:multiLevelType w:val="hybridMultilevel"/>
    <w:tmpl w:val="CEC859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EE51DE"/>
    <w:multiLevelType w:val="hybridMultilevel"/>
    <w:tmpl w:val="0D34F4B4"/>
    <w:lvl w:ilvl="0" w:tplc="B728085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C68E1"/>
    <w:multiLevelType w:val="hybridMultilevel"/>
    <w:tmpl w:val="1F36D42C"/>
    <w:lvl w:ilvl="0" w:tplc="C6EC007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8321B4F"/>
    <w:multiLevelType w:val="hybridMultilevel"/>
    <w:tmpl w:val="B1B05C1E"/>
    <w:lvl w:ilvl="0" w:tplc="B728085E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695B6A"/>
    <w:multiLevelType w:val="hybridMultilevel"/>
    <w:tmpl w:val="6850477C"/>
    <w:lvl w:ilvl="0" w:tplc="B728085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A101A2"/>
    <w:multiLevelType w:val="hybridMultilevel"/>
    <w:tmpl w:val="654A3038"/>
    <w:lvl w:ilvl="0" w:tplc="B728085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C2671F"/>
    <w:multiLevelType w:val="hybridMultilevel"/>
    <w:tmpl w:val="DA546840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5CAC7126"/>
    <w:multiLevelType w:val="multilevel"/>
    <w:tmpl w:val="1674E25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63E51024"/>
    <w:multiLevelType w:val="hybridMultilevel"/>
    <w:tmpl w:val="CBC03AE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E41D7"/>
    <w:multiLevelType w:val="multilevel"/>
    <w:tmpl w:val="456251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7">
    <w:nsid w:val="6D911F2B"/>
    <w:multiLevelType w:val="hybridMultilevel"/>
    <w:tmpl w:val="EF2AAA9C"/>
    <w:lvl w:ilvl="0" w:tplc="B728085E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A4E5B51"/>
    <w:multiLevelType w:val="hybridMultilevel"/>
    <w:tmpl w:val="00005F30"/>
    <w:lvl w:ilvl="0" w:tplc="B728085E"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7FE26229"/>
    <w:multiLevelType w:val="hybridMultilevel"/>
    <w:tmpl w:val="22FC9302"/>
    <w:lvl w:ilvl="0" w:tplc="B728085E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9"/>
  </w:num>
  <w:num w:numId="5">
    <w:abstractNumId w:val="13"/>
  </w:num>
  <w:num w:numId="6">
    <w:abstractNumId w:val="15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1"/>
  </w:num>
  <w:num w:numId="13">
    <w:abstractNumId w:val="19"/>
  </w:num>
  <w:num w:numId="14">
    <w:abstractNumId w:val="3"/>
  </w:num>
  <w:num w:numId="15">
    <w:abstractNumId w:val="10"/>
  </w:num>
  <w:num w:numId="16">
    <w:abstractNumId w:val="6"/>
  </w:num>
  <w:num w:numId="17">
    <w:abstractNumId w:val="17"/>
  </w:num>
  <w:num w:numId="18">
    <w:abstractNumId w:val="11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AF1"/>
    <w:rsid w:val="000B10F1"/>
    <w:rsid w:val="000C79C3"/>
    <w:rsid w:val="00125500"/>
    <w:rsid w:val="00162932"/>
    <w:rsid w:val="001752F7"/>
    <w:rsid w:val="001C0733"/>
    <w:rsid w:val="002B7E2B"/>
    <w:rsid w:val="003424DF"/>
    <w:rsid w:val="00356AF1"/>
    <w:rsid w:val="003D6A82"/>
    <w:rsid w:val="003E0082"/>
    <w:rsid w:val="0048451C"/>
    <w:rsid w:val="005B7134"/>
    <w:rsid w:val="006F1B9B"/>
    <w:rsid w:val="00755C8D"/>
    <w:rsid w:val="00767BB3"/>
    <w:rsid w:val="007D4FCB"/>
    <w:rsid w:val="008F6174"/>
    <w:rsid w:val="009974D6"/>
    <w:rsid w:val="009D3D0F"/>
    <w:rsid w:val="00B037BA"/>
    <w:rsid w:val="00B63A83"/>
    <w:rsid w:val="00BD399D"/>
    <w:rsid w:val="00C423EC"/>
    <w:rsid w:val="00C668BB"/>
    <w:rsid w:val="00C85328"/>
    <w:rsid w:val="00D03A31"/>
    <w:rsid w:val="00D47DAD"/>
    <w:rsid w:val="00D64964"/>
    <w:rsid w:val="00E6421F"/>
    <w:rsid w:val="00F3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F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AF1"/>
    <w:pPr>
      <w:ind w:left="720"/>
      <w:contextualSpacing/>
    </w:pPr>
    <w:rPr>
      <w:rFonts w:eastAsia="Times New Roman"/>
      <w:lang w:val="bg-BG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8</Pages>
  <Words>2485</Words>
  <Characters>14165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DVV</dc:creator>
  <cp:keywords/>
  <dc:description/>
  <cp:lastModifiedBy>admin</cp:lastModifiedBy>
  <cp:revision>3</cp:revision>
  <dcterms:created xsi:type="dcterms:W3CDTF">2013-12-05T13:56:00Z</dcterms:created>
  <dcterms:modified xsi:type="dcterms:W3CDTF">2013-12-05T15:14:00Z</dcterms:modified>
</cp:coreProperties>
</file>